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ED19B" w14:textId="2B2D628E" w:rsidR="00DB1C64" w:rsidRPr="000802F6" w:rsidRDefault="00E92E19" w:rsidP="000802F6">
      <w:pPr>
        <w:spacing w:after="0" w:line="240" w:lineRule="auto"/>
        <w:jc w:val="center"/>
        <w:rPr>
          <w:rFonts w:ascii="Arial" w:hAnsi="Arial" w:cs="Arial"/>
          <w:b/>
          <w:bCs/>
          <w:sz w:val="28"/>
          <w:szCs w:val="28"/>
        </w:rPr>
      </w:pPr>
      <w:r w:rsidRPr="000802F6">
        <w:rPr>
          <w:rFonts w:ascii="Arial" w:hAnsi="Arial" w:cs="Arial"/>
          <w:b/>
          <w:bCs/>
          <w:sz w:val="28"/>
          <w:szCs w:val="28"/>
        </w:rPr>
        <w:t>Clear Vision for Eye Health: Right</w:t>
      </w:r>
      <w:r w:rsidR="00EE16DB" w:rsidRPr="000802F6">
        <w:rPr>
          <w:rFonts w:ascii="Arial" w:hAnsi="Arial" w:cs="Arial"/>
          <w:b/>
          <w:bCs/>
          <w:sz w:val="28"/>
          <w:szCs w:val="28"/>
        </w:rPr>
        <w:t xml:space="preserve"> c</w:t>
      </w:r>
      <w:r w:rsidRPr="000802F6">
        <w:rPr>
          <w:rFonts w:ascii="Arial" w:hAnsi="Arial" w:cs="Arial"/>
          <w:b/>
          <w:bCs/>
          <w:sz w:val="28"/>
          <w:szCs w:val="28"/>
        </w:rPr>
        <w:t xml:space="preserve">are, </w:t>
      </w:r>
      <w:r w:rsidR="00B82866" w:rsidRPr="000802F6">
        <w:rPr>
          <w:rFonts w:ascii="Arial" w:hAnsi="Arial" w:cs="Arial"/>
          <w:b/>
          <w:bCs/>
          <w:sz w:val="28"/>
          <w:szCs w:val="28"/>
        </w:rPr>
        <w:t>r</w:t>
      </w:r>
      <w:r w:rsidRPr="000802F6">
        <w:rPr>
          <w:rFonts w:ascii="Arial" w:hAnsi="Arial" w:cs="Arial"/>
          <w:b/>
          <w:bCs/>
          <w:sz w:val="28"/>
          <w:szCs w:val="28"/>
        </w:rPr>
        <w:t xml:space="preserve">ight </w:t>
      </w:r>
      <w:r w:rsidR="00B82866" w:rsidRPr="000802F6">
        <w:rPr>
          <w:rFonts w:ascii="Arial" w:hAnsi="Arial" w:cs="Arial"/>
          <w:b/>
          <w:bCs/>
          <w:sz w:val="28"/>
          <w:szCs w:val="28"/>
        </w:rPr>
        <w:t>p</w:t>
      </w:r>
      <w:r w:rsidRPr="000802F6">
        <w:rPr>
          <w:rFonts w:ascii="Arial" w:hAnsi="Arial" w:cs="Arial"/>
          <w:b/>
          <w:bCs/>
          <w:sz w:val="28"/>
          <w:szCs w:val="28"/>
        </w:rPr>
        <w:t xml:space="preserve">lace, </w:t>
      </w:r>
      <w:r w:rsidR="00B82866" w:rsidRPr="000802F6">
        <w:rPr>
          <w:rFonts w:ascii="Arial" w:hAnsi="Arial" w:cs="Arial"/>
          <w:b/>
          <w:bCs/>
          <w:sz w:val="28"/>
          <w:szCs w:val="28"/>
        </w:rPr>
        <w:t>r</w:t>
      </w:r>
      <w:r w:rsidRPr="000802F6">
        <w:rPr>
          <w:rFonts w:ascii="Arial" w:hAnsi="Arial" w:cs="Arial"/>
          <w:b/>
          <w:bCs/>
          <w:sz w:val="28"/>
          <w:szCs w:val="28"/>
        </w:rPr>
        <w:t xml:space="preserve">ight </w:t>
      </w:r>
      <w:r w:rsidR="00B82866" w:rsidRPr="000802F6">
        <w:rPr>
          <w:rFonts w:ascii="Arial" w:hAnsi="Arial" w:cs="Arial"/>
          <w:b/>
          <w:bCs/>
          <w:sz w:val="28"/>
          <w:szCs w:val="28"/>
        </w:rPr>
        <w:t>t</w:t>
      </w:r>
      <w:r w:rsidRPr="000802F6">
        <w:rPr>
          <w:rFonts w:ascii="Arial" w:hAnsi="Arial" w:cs="Arial"/>
          <w:b/>
          <w:bCs/>
          <w:sz w:val="28"/>
          <w:szCs w:val="28"/>
        </w:rPr>
        <w:t>ime</w:t>
      </w:r>
    </w:p>
    <w:p w14:paraId="06D12072" w14:textId="77777777" w:rsidR="000802F6" w:rsidRDefault="000802F6" w:rsidP="00B82866">
      <w:pPr>
        <w:spacing w:line="240" w:lineRule="auto"/>
        <w:rPr>
          <w:rFonts w:ascii="Arial" w:hAnsi="Arial" w:cs="Arial"/>
          <w:b/>
          <w:bCs/>
        </w:rPr>
      </w:pPr>
    </w:p>
    <w:p w14:paraId="3292BE23" w14:textId="1A714783" w:rsidR="00E92E19" w:rsidRPr="00B82866" w:rsidRDefault="00E92E19" w:rsidP="00B82866">
      <w:pPr>
        <w:spacing w:line="240" w:lineRule="auto"/>
        <w:rPr>
          <w:rFonts w:ascii="Arial" w:hAnsi="Arial" w:cs="Arial"/>
        </w:rPr>
      </w:pPr>
      <w:r w:rsidRPr="00B82866">
        <w:rPr>
          <w:rFonts w:ascii="Arial" w:hAnsi="Arial" w:cs="Arial"/>
          <w:b/>
          <w:bCs/>
        </w:rPr>
        <w:t xml:space="preserve">The Problem </w:t>
      </w:r>
      <w:r w:rsidRPr="00B82866">
        <w:rPr>
          <w:rFonts w:ascii="Arial" w:hAnsi="Arial" w:cs="Arial"/>
          <w:b/>
          <w:bCs/>
        </w:rPr>
        <w:br/>
      </w:r>
      <w:r w:rsidRPr="00B82866">
        <w:rPr>
          <w:rFonts w:ascii="Arial" w:hAnsi="Arial" w:cs="Arial"/>
        </w:rPr>
        <w:t xml:space="preserve">Nearly 1 in 2 Australians live with at least one long-term eye condition, </w:t>
      </w:r>
      <w:r w:rsidR="00EE16DB" w:rsidRPr="00B82866">
        <w:rPr>
          <w:rFonts w:ascii="Arial" w:hAnsi="Arial" w:cs="Arial"/>
        </w:rPr>
        <w:t xml:space="preserve">costing </w:t>
      </w:r>
      <w:r w:rsidRPr="00B82866">
        <w:rPr>
          <w:rFonts w:ascii="Arial" w:hAnsi="Arial" w:cs="Arial"/>
        </w:rPr>
        <w:t>the economy $27 billion annually</w:t>
      </w:r>
      <w:r w:rsidR="00EE16DB" w:rsidRPr="00B82866">
        <w:rPr>
          <w:rFonts w:ascii="Arial" w:hAnsi="Arial" w:cs="Arial"/>
        </w:rPr>
        <w:t xml:space="preserve">. </w:t>
      </w:r>
      <w:r w:rsidRPr="00B82866">
        <w:rPr>
          <w:rFonts w:ascii="Arial" w:hAnsi="Arial" w:cs="Arial"/>
        </w:rPr>
        <w:t>Public hospitals face long waitlists, with some patients waiting up to five years for treatment, exacerbating healthcare inequities.</w:t>
      </w:r>
    </w:p>
    <w:p w14:paraId="1FA9C226" w14:textId="5F3825D7" w:rsidR="00E92E19" w:rsidRPr="00B82866" w:rsidRDefault="00E92E19" w:rsidP="00B82866">
      <w:pPr>
        <w:spacing w:line="240" w:lineRule="auto"/>
        <w:rPr>
          <w:rFonts w:ascii="Arial" w:hAnsi="Arial" w:cs="Arial"/>
          <w:b/>
          <w:bCs/>
        </w:rPr>
      </w:pPr>
      <w:r w:rsidRPr="00B82866">
        <w:rPr>
          <w:rFonts w:ascii="Arial" w:hAnsi="Arial" w:cs="Arial"/>
          <w:b/>
          <w:bCs/>
        </w:rPr>
        <w:t>The Solution</w:t>
      </w:r>
      <w:r w:rsidRPr="00B82866">
        <w:rPr>
          <w:rFonts w:ascii="Arial" w:hAnsi="Arial" w:cs="Arial"/>
          <w:b/>
          <w:bCs/>
        </w:rPr>
        <w:br/>
      </w:r>
      <w:r w:rsidRPr="00B82866">
        <w:rPr>
          <w:rFonts w:ascii="Arial" w:hAnsi="Arial" w:cs="Arial"/>
        </w:rPr>
        <w:t>A successful and scalable pilot in Victoria demonstrated the potential in strengthening primary and community-based eye care and improving early detection of eye conditions. Expanding this model nationally could reduce costs, improve access and address growing eye health needs and affordability.</w:t>
      </w:r>
    </w:p>
    <w:p w14:paraId="4F1BFC5F" w14:textId="7E5CC994" w:rsidR="00E92E19" w:rsidRPr="00B82866" w:rsidRDefault="00E92E19" w:rsidP="00B82866">
      <w:pPr>
        <w:spacing w:line="240" w:lineRule="auto"/>
        <w:rPr>
          <w:rFonts w:ascii="Arial" w:hAnsi="Arial" w:cs="Arial"/>
          <w:b/>
          <w:bCs/>
        </w:rPr>
      </w:pPr>
      <w:r w:rsidRPr="00B82866">
        <w:rPr>
          <w:rFonts w:ascii="Arial" w:hAnsi="Arial" w:cs="Arial"/>
          <w:b/>
          <w:bCs/>
        </w:rPr>
        <w:t>The Ask</w:t>
      </w:r>
      <w:r w:rsidRPr="00B82866">
        <w:rPr>
          <w:rFonts w:ascii="Arial" w:hAnsi="Arial" w:cs="Arial"/>
          <w:b/>
          <w:bCs/>
        </w:rPr>
        <w:br/>
      </w:r>
      <w:r w:rsidRPr="00B82866">
        <w:rPr>
          <w:rFonts w:ascii="Arial" w:hAnsi="Arial" w:cs="Arial"/>
        </w:rPr>
        <w:t xml:space="preserve">Vision 2020 Australia is calling on the Australian Government to fund a national initiative through the Primary Health Networks (PHNs) to improve the delivery of eye care at the community and primary care level. </w:t>
      </w:r>
    </w:p>
    <w:p w14:paraId="08C5B807" w14:textId="77777777" w:rsidR="00EE16DB" w:rsidRPr="00B82866" w:rsidRDefault="00E92E19" w:rsidP="00B82866">
      <w:pPr>
        <w:spacing w:after="0" w:line="240" w:lineRule="auto"/>
        <w:rPr>
          <w:rFonts w:ascii="Arial" w:hAnsi="Arial" w:cs="Arial"/>
          <w:u w:val="single"/>
        </w:rPr>
      </w:pPr>
      <w:r w:rsidRPr="00B82866">
        <w:rPr>
          <w:rFonts w:ascii="Arial" w:hAnsi="Arial" w:cs="Arial"/>
          <w:u w:val="single"/>
        </w:rPr>
        <w:t xml:space="preserve">Option 1 </w:t>
      </w:r>
    </w:p>
    <w:p w14:paraId="75CE2D3F" w14:textId="5D39AD99" w:rsidR="00E92E19" w:rsidRPr="00B82866" w:rsidRDefault="00E92E19" w:rsidP="00B82866">
      <w:pPr>
        <w:pStyle w:val="ListParagraph"/>
        <w:numPr>
          <w:ilvl w:val="0"/>
          <w:numId w:val="1"/>
        </w:numPr>
        <w:spacing w:line="240" w:lineRule="auto"/>
        <w:rPr>
          <w:rFonts w:ascii="Arial" w:hAnsi="Arial" w:cs="Arial"/>
        </w:rPr>
      </w:pPr>
      <w:r w:rsidRPr="00B82866">
        <w:rPr>
          <w:rFonts w:ascii="Arial" w:hAnsi="Arial" w:cs="Arial"/>
          <w:b/>
          <w:bCs/>
        </w:rPr>
        <w:t>Cost:</w:t>
      </w:r>
      <w:r w:rsidRPr="00B82866">
        <w:rPr>
          <w:rFonts w:ascii="Arial" w:hAnsi="Arial" w:cs="Arial"/>
        </w:rPr>
        <w:t xml:space="preserve"> $37.1 million</w:t>
      </w:r>
    </w:p>
    <w:p w14:paraId="02915EA1" w14:textId="77777777" w:rsidR="00E92E19" w:rsidRPr="00B82866" w:rsidRDefault="00E92E19" w:rsidP="00B82866">
      <w:pPr>
        <w:pStyle w:val="ListParagraph"/>
        <w:numPr>
          <w:ilvl w:val="0"/>
          <w:numId w:val="1"/>
        </w:numPr>
        <w:spacing w:line="240" w:lineRule="auto"/>
        <w:rPr>
          <w:rFonts w:ascii="Arial" w:hAnsi="Arial" w:cs="Arial"/>
        </w:rPr>
      </w:pPr>
      <w:r w:rsidRPr="00B82866">
        <w:rPr>
          <w:rFonts w:ascii="Arial" w:hAnsi="Arial" w:cs="Arial"/>
          <w:b/>
          <w:bCs/>
        </w:rPr>
        <w:t>Duration:</w:t>
      </w:r>
      <w:r w:rsidRPr="00B82866">
        <w:rPr>
          <w:rFonts w:ascii="Arial" w:hAnsi="Arial" w:cs="Arial"/>
        </w:rPr>
        <w:t xml:space="preserve"> Four years ($9.3 million per year)</w:t>
      </w:r>
    </w:p>
    <w:p w14:paraId="645DFAFB" w14:textId="77777777" w:rsidR="00E92E19" w:rsidRPr="00B82866" w:rsidRDefault="00E92E19" w:rsidP="00B82866">
      <w:pPr>
        <w:pStyle w:val="ListParagraph"/>
        <w:numPr>
          <w:ilvl w:val="0"/>
          <w:numId w:val="1"/>
        </w:numPr>
        <w:spacing w:line="240" w:lineRule="auto"/>
        <w:rPr>
          <w:rFonts w:ascii="Arial" w:hAnsi="Arial" w:cs="Arial"/>
        </w:rPr>
      </w:pPr>
      <w:r w:rsidRPr="00B82866">
        <w:rPr>
          <w:rFonts w:ascii="Arial" w:hAnsi="Arial" w:cs="Arial"/>
          <w:b/>
          <w:bCs/>
        </w:rPr>
        <w:t>Delivery and Coordination:</w:t>
      </w:r>
      <w:r w:rsidRPr="00B82866">
        <w:rPr>
          <w:rFonts w:ascii="Arial" w:hAnsi="Arial" w:cs="Arial"/>
        </w:rPr>
        <w:t xml:space="preserve"> Primary Health Networks (PHNs)</w:t>
      </w:r>
    </w:p>
    <w:p w14:paraId="6212BB1F" w14:textId="0A672579" w:rsidR="00E92E19" w:rsidRPr="00B82866" w:rsidRDefault="00E92E19" w:rsidP="00B82866">
      <w:pPr>
        <w:pStyle w:val="ListParagraph"/>
        <w:numPr>
          <w:ilvl w:val="0"/>
          <w:numId w:val="1"/>
        </w:numPr>
        <w:spacing w:line="240" w:lineRule="auto"/>
        <w:rPr>
          <w:rFonts w:ascii="Arial" w:hAnsi="Arial" w:cs="Arial"/>
        </w:rPr>
      </w:pPr>
      <w:r w:rsidRPr="00B82866">
        <w:rPr>
          <w:rFonts w:ascii="Arial" w:hAnsi="Arial" w:cs="Arial"/>
          <w:b/>
          <w:bCs/>
        </w:rPr>
        <w:t>Target/Restrictions:</w:t>
      </w:r>
      <w:r w:rsidRPr="00B82866">
        <w:rPr>
          <w:rFonts w:ascii="Arial" w:hAnsi="Arial" w:cs="Arial"/>
        </w:rPr>
        <w:t xml:space="preserve"> </w:t>
      </w:r>
      <w:r w:rsidRPr="00B82866">
        <w:rPr>
          <w:rFonts w:ascii="Arial" w:hAnsi="Arial" w:cs="Arial"/>
          <w:b/>
          <w:bCs/>
        </w:rPr>
        <w:t>(1)</w:t>
      </w:r>
      <w:r w:rsidRPr="00B82866">
        <w:rPr>
          <w:rFonts w:ascii="Arial" w:hAnsi="Arial" w:cs="Arial"/>
        </w:rPr>
        <w:t xml:space="preserve"> 2586 GP practices in regional and rural areas </w:t>
      </w:r>
      <w:r w:rsidRPr="00B82866">
        <w:rPr>
          <w:rFonts w:ascii="Arial" w:hAnsi="Arial" w:cs="Arial"/>
        </w:rPr>
        <w:br/>
      </w:r>
      <w:r w:rsidRPr="00B82866">
        <w:rPr>
          <w:rFonts w:ascii="Arial" w:hAnsi="Arial" w:cs="Arial"/>
          <w:b/>
          <w:bCs/>
        </w:rPr>
        <w:t>(2)</w:t>
      </w:r>
      <w:r w:rsidRPr="00B82866">
        <w:rPr>
          <w:rFonts w:ascii="Arial" w:hAnsi="Arial" w:cs="Arial"/>
        </w:rPr>
        <w:t xml:space="preserve"> 3117 Optometry practices within the same PHN as full scope public ophthalmology services</w:t>
      </w:r>
    </w:p>
    <w:p w14:paraId="6673E6DD" w14:textId="40DCDB80" w:rsidR="00E92E19" w:rsidRPr="00B82866" w:rsidRDefault="00E92E19" w:rsidP="00B82866">
      <w:pPr>
        <w:pStyle w:val="ListParagraph"/>
        <w:numPr>
          <w:ilvl w:val="0"/>
          <w:numId w:val="1"/>
        </w:numPr>
        <w:spacing w:line="240" w:lineRule="auto"/>
        <w:rPr>
          <w:rFonts w:ascii="Arial" w:hAnsi="Arial" w:cs="Arial"/>
        </w:rPr>
      </w:pPr>
      <w:r w:rsidRPr="00B82866">
        <w:rPr>
          <w:rFonts w:ascii="Arial" w:hAnsi="Arial" w:cs="Arial"/>
          <w:b/>
          <w:bCs/>
        </w:rPr>
        <w:t>Scheme:</w:t>
      </w:r>
      <w:r w:rsidRPr="00B82866">
        <w:rPr>
          <w:rFonts w:ascii="Arial" w:hAnsi="Arial" w:cs="Arial"/>
        </w:rPr>
        <w:t xml:space="preserve"> GP practices can apply via their PHN for a Primary Care Incentive Payment of $10,000 total, which is paid across quarterly instalments</w:t>
      </w:r>
    </w:p>
    <w:p w14:paraId="0A9CB9AA" w14:textId="42FD4D5D" w:rsidR="00E92E19" w:rsidRPr="00B82866" w:rsidRDefault="00E92E19" w:rsidP="00B82866">
      <w:pPr>
        <w:spacing w:after="0" w:line="240" w:lineRule="auto"/>
        <w:rPr>
          <w:rFonts w:ascii="Arial" w:hAnsi="Arial" w:cs="Arial"/>
          <w:u w:val="single"/>
        </w:rPr>
      </w:pPr>
      <w:r w:rsidRPr="00B82866">
        <w:rPr>
          <w:rFonts w:ascii="Arial" w:hAnsi="Arial" w:cs="Arial"/>
          <w:u w:val="single"/>
        </w:rPr>
        <w:t>Option 2</w:t>
      </w:r>
    </w:p>
    <w:p w14:paraId="5AEF4AAD" w14:textId="77777777" w:rsidR="00E92E19" w:rsidRPr="00B82866" w:rsidRDefault="00E92E19" w:rsidP="00B82866">
      <w:pPr>
        <w:pStyle w:val="ListParagraph"/>
        <w:numPr>
          <w:ilvl w:val="0"/>
          <w:numId w:val="2"/>
        </w:numPr>
        <w:spacing w:line="240" w:lineRule="auto"/>
        <w:rPr>
          <w:rFonts w:ascii="Arial" w:hAnsi="Arial" w:cs="Arial"/>
        </w:rPr>
      </w:pPr>
      <w:r w:rsidRPr="00B82866">
        <w:rPr>
          <w:rFonts w:ascii="Arial" w:hAnsi="Arial" w:cs="Arial"/>
          <w:b/>
          <w:bCs/>
        </w:rPr>
        <w:t>Cost:</w:t>
      </w:r>
      <w:r w:rsidRPr="00B82866">
        <w:rPr>
          <w:rFonts w:ascii="Arial" w:hAnsi="Arial" w:cs="Arial"/>
        </w:rPr>
        <w:t xml:space="preserve"> $17.1 million</w:t>
      </w:r>
    </w:p>
    <w:p w14:paraId="06C2D5A9" w14:textId="77777777" w:rsidR="00E92E19" w:rsidRPr="00B82866" w:rsidRDefault="00E92E19" w:rsidP="00B82866">
      <w:pPr>
        <w:pStyle w:val="ListParagraph"/>
        <w:numPr>
          <w:ilvl w:val="0"/>
          <w:numId w:val="2"/>
        </w:numPr>
        <w:spacing w:line="240" w:lineRule="auto"/>
        <w:rPr>
          <w:rFonts w:ascii="Arial" w:hAnsi="Arial" w:cs="Arial"/>
        </w:rPr>
      </w:pPr>
      <w:r w:rsidRPr="00B82866">
        <w:rPr>
          <w:rFonts w:ascii="Arial" w:hAnsi="Arial" w:cs="Arial"/>
          <w:b/>
          <w:bCs/>
        </w:rPr>
        <w:t>Duration:</w:t>
      </w:r>
      <w:r w:rsidRPr="00B82866">
        <w:rPr>
          <w:rFonts w:ascii="Arial" w:hAnsi="Arial" w:cs="Arial"/>
        </w:rPr>
        <w:t xml:space="preserve"> 4 years ($4.3 million per year)</w:t>
      </w:r>
    </w:p>
    <w:p w14:paraId="374094C6" w14:textId="1C67C744" w:rsidR="00E92E19" w:rsidRPr="00B82866" w:rsidRDefault="00E92E19" w:rsidP="00B82866">
      <w:pPr>
        <w:pStyle w:val="ListParagraph"/>
        <w:numPr>
          <w:ilvl w:val="0"/>
          <w:numId w:val="2"/>
        </w:numPr>
        <w:spacing w:line="240" w:lineRule="auto"/>
        <w:rPr>
          <w:rFonts w:ascii="Arial" w:hAnsi="Arial" w:cs="Arial"/>
        </w:rPr>
      </w:pPr>
      <w:r w:rsidRPr="00B82866">
        <w:rPr>
          <w:rFonts w:ascii="Arial" w:hAnsi="Arial" w:cs="Arial"/>
          <w:b/>
          <w:bCs/>
        </w:rPr>
        <w:t>Delivery and Coordination:</w:t>
      </w:r>
      <w:r w:rsidRPr="00B82866">
        <w:rPr>
          <w:rFonts w:ascii="Arial" w:hAnsi="Arial" w:cs="Arial"/>
        </w:rPr>
        <w:t xml:space="preserve"> Primary Health Networks (PHNs)</w:t>
      </w:r>
    </w:p>
    <w:p w14:paraId="07196C19" w14:textId="74D466A6" w:rsidR="00E92E19" w:rsidRPr="00B82866" w:rsidRDefault="00E92E19" w:rsidP="00B82866">
      <w:pPr>
        <w:pStyle w:val="ListParagraph"/>
        <w:numPr>
          <w:ilvl w:val="0"/>
          <w:numId w:val="2"/>
        </w:numPr>
        <w:spacing w:line="240" w:lineRule="auto"/>
        <w:rPr>
          <w:rFonts w:ascii="Arial" w:hAnsi="Arial" w:cs="Arial"/>
        </w:rPr>
      </w:pPr>
      <w:r w:rsidRPr="00B82866">
        <w:rPr>
          <w:rFonts w:ascii="Arial" w:hAnsi="Arial" w:cs="Arial"/>
          <w:b/>
          <w:bCs/>
        </w:rPr>
        <w:t>Target/Restrictions:</w:t>
      </w:r>
      <w:r w:rsidRPr="00B82866">
        <w:rPr>
          <w:rFonts w:ascii="Arial" w:hAnsi="Arial" w:cs="Arial"/>
        </w:rPr>
        <w:t xml:space="preserve"> </w:t>
      </w:r>
      <w:r w:rsidRPr="00B82866">
        <w:rPr>
          <w:rFonts w:ascii="Arial" w:hAnsi="Arial" w:cs="Arial"/>
          <w:b/>
          <w:bCs/>
        </w:rPr>
        <w:t>(1)</w:t>
      </w:r>
      <w:r w:rsidRPr="00B82866">
        <w:rPr>
          <w:rFonts w:ascii="Arial" w:hAnsi="Arial" w:cs="Arial"/>
        </w:rPr>
        <w:t xml:space="preserve"> 1000 GP practices (with priority going to regional and rural areas and areas in the lowest two SEIFA quintiles) </w:t>
      </w:r>
      <w:r w:rsidRPr="00B82866">
        <w:rPr>
          <w:rFonts w:ascii="Arial" w:hAnsi="Arial" w:cs="Arial"/>
          <w:b/>
          <w:bCs/>
        </w:rPr>
        <w:t>(2)</w:t>
      </w:r>
      <w:r w:rsidRPr="00B82866">
        <w:rPr>
          <w:rFonts w:ascii="Arial" w:hAnsi="Arial" w:cs="Arial"/>
        </w:rPr>
        <w:t xml:space="preserve"> 3117 Optometry practices within the same PHN as full scope public ophthalmology services</w:t>
      </w:r>
    </w:p>
    <w:p w14:paraId="78D563CC" w14:textId="73DDA798" w:rsidR="00E92E19" w:rsidRPr="00B82866" w:rsidRDefault="00E92E19" w:rsidP="00B82866">
      <w:pPr>
        <w:pStyle w:val="ListParagraph"/>
        <w:numPr>
          <w:ilvl w:val="0"/>
          <w:numId w:val="2"/>
        </w:numPr>
        <w:spacing w:line="240" w:lineRule="auto"/>
        <w:rPr>
          <w:rFonts w:ascii="Arial" w:hAnsi="Arial" w:cs="Arial"/>
        </w:rPr>
      </w:pPr>
      <w:r w:rsidRPr="00B82866">
        <w:rPr>
          <w:rFonts w:ascii="Arial" w:hAnsi="Arial" w:cs="Arial"/>
          <w:b/>
          <w:bCs/>
        </w:rPr>
        <w:t>Scheme:</w:t>
      </w:r>
      <w:r w:rsidRPr="00B82866">
        <w:rPr>
          <w:rFonts w:ascii="Arial" w:hAnsi="Arial" w:cs="Arial"/>
        </w:rPr>
        <w:t xml:space="preserve"> Priority will be given to GP practices in regional and rural areas and areas in the lowest two Socio-Economic Indexes for Areas (SEIFA) quintiles</w:t>
      </w:r>
    </w:p>
    <w:p w14:paraId="347ADB81" w14:textId="7C76A866" w:rsidR="00E92E19" w:rsidRPr="00B82866" w:rsidRDefault="00EE16DB" w:rsidP="00B82866">
      <w:pPr>
        <w:spacing w:after="0" w:line="240" w:lineRule="auto"/>
        <w:rPr>
          <w:rFonts w:ascii="Arial" w:hAnsi="Arial" w:cs="Arial"/>
          <w:u w:val="single"/>
        </w:rPr>
      </w:pPr>
      <w:r w:rsidRPr="00B82866">
        <w:rPr>
          <w:rFonts w:ascii="Arial" w:hAnsi="Arial" w:cs="Arial"/>
          <w:u w:val="single"/>
        </w:rPr>
        <w:t>Option 3</w:t>
      </w:r>
    </w:p>
    <w:p w14:paraId="47F4D049" w14:textId="77777777" w:rsidR="00EE16DB" w:rsidRPr="00B82866" w:rsidRDefault="00EE16DB" w:rsidP="00B82866">
      <w:pPr>
        <w:pStyle w:val="ListParagraph"/>
        <w:numPr>
          <w:ilvl w:val="0"/>
          <w:numId w:val="3"/>
        </w:numPr>
        <w:spacing w:line="240" w:lineRule="auto"/>
        <w:rPr>
          <w:rFonts w:ascii="Arial" w:hAnsi="Arial" w:cs="Arial"/>
        </w:rPr>
      </w:pPr>
      <w:r w:rsidRPr="00B82866">
        <w:rPr>
          <w:rFonts w:ascii="Arial" w:hAnsi="Arial" w:cs="Arial"/>
          <w:b/>
          <w:bCs/>
        </w:rPr>
        <w:t>Cost:</w:t>
      </w:r>
      <w:r w:rsidRPr="00B82866">
        <w:rPr>
          <w:rFonts w:ascii="Arial" w:hAnsi="Arial" w:cs="Arial"/>
        </w:rPr>
        <w:t xml:space="preserve"> $9.6 million</w:t>
      </w:r>
    </w:p>
    <w:p w14:paraId="15E75A96" w14:textId="77777777" w:rsidR="00EE16DB" w:rsidRPr="00B82866" w:rsidRDefault="00EE16DB" w:rsidP="00B82866">
      <w:pPr>
        <w:pStyle w:val="ListParagraph"/>
        <w:numPr>
          <w:ilvl w:val="0"/>
          <w:numId w:val="3"/>
        </w:numPr>
        <w:spacing w:line="240" w:lineRule="auto"/>
        <w:rPr>
          <w:rFonts w:ascii="Arial" w:hAnsi="Arial" w:cs="Arial"/>
        </w:rPr>
      </w:pPr>
      <w:r w:rsidRPr="00B82866">
        <w:rPr>
          <w:rFonts w:ascii="Arial" w:hAnsi="Arial" w:cs="Arial"/>
          <w:b/>
          <w:bCs/>
        </w:rPr>
        <w:t>Duration:</w:t>
      </w:r>
      <w:r w:rsidRPr="00B82866">
        <w:rPr>
          <w:rFonts w:ascii="Arial" w:hAnsi="Arial" w:cs="Arial"/>
        </w:rPr>
        <w:t xml:space="preserve"> 4 years ($2.4 million per year)</w:t>
      </w:r>
    </w:p>
    <w:p w14:paraId="678AECB4" w14:textId="35EF0C0D" w:rsidR="00EE16DB" w:rsidRPr="00B82866" w:rsidRDefault="00EE16DB" w:rsidP="00B82866">
      <w:pPr>
        <w:pStyle w:val="ListParagraph"/>
        <w:numPr>
          <w:ilvl w:val="0"/>
          <w:numId w:val="3"/>
        </w:numPr>
        <w:spacing w:line="240" w:lineRule="auto"/>
        <w:rPr>
          <w:rFonts w:ascii="Arial" w:hAnsi="Arial" w:cs="Arial"/>
        </w:rPr>
      </w:pPr>
      <w:r w:rsidRPr="00B82866">
        <w:rPr>
          <w:rFonts w:ascii="Arial" w:hAnsi="Arial" w:cs="Arial"/>
          <w:b/>
          <w:bCs/>
        </w:rPr>
        <w:t>Delivery and Coordination:</w:t>
      </w:r>
      <w:r w:rsidRPr="00B82866">
        <w:rPr>
          <w:rFonts w:ascii="Arial" w:hAnsi="Arial" w:cs="Arial"/>
        </w:rPr>
        <w:t xml:space="preserve"> Primary Health Networks (PHNs)</w:t>
      </w:r>
    </w:p>
    <w:p w14:paraId="44F29DEA" w14:textId="403C7D3C" w:rsidR="00EE16DB" w:rsidRPr="00B82866" w:rsidRDefault="00EE16DB" w:rsidP="00B82866">
      <w:pPr>
        <w:pStyle w:val="ListParagraph"/>
        <w:numPr>
          <w:ilvl w:val="0"/>
          <w:numId w:val="3"/>
        </w:numPr>
        <w:spacing w:line="240" w:lineRule="auto"/>
        <w:rPr>
          <w:rFonts w:ascii="Arial" w:hAnsi="Arial" w:cs="Arial"/>
        </w:rPr>
      </w:pPr>
      <w:r w:rsidRPr="00B82866">
        <w:rPr>
          <w:rFonts w:ascii="Arial" w:hAnsi="Arial" w:cs="Arial"/>
          <w:b/>
          <w:bCs/>
        </w:rPr>
        <w:t>Target/Restrictions:</w:t>
      </w:r>
      <w:r w:rsidRPr="00B82866">
        <w:rPr>
          <w:rFonts w:ascii="Arial" w:hAnsi="Arial" w:cs="Arial"/>
        </w:rPr>
        <w:t xml:space="preserve"> </w:t>
      </w:r>
      <w:r w:rsidRPr="00B82866">
        <w:rPr>
          <w:rFonts w:ascii="Arial" w:hAnsi="Arial" w:cs="Arial"/>
          <w:b/>
          <w:bCs/>
        </w:rPr>
        <w:t xml:space="preserve">(1) </w:t>
      </w:r>
      <w:r w:rsidRPr="00B82866">
        <w:rPr>
          <w:rFonts w:ascii="Arial" w:hAnsi="Arial" w:cs="Arial"/>
        </w:rPr>
        <w:t xml:space="preserve">260 GP practices (10 per PHN with priority going to regional and rural areas and the lowest two SEIFA quintiles). </w:t>
      </w:r>
      <w:r w:rsidRPr="00B82866">
        <w:rPr>
          <w:rFonts w:ascii="Arial" w:hAnsi="Arial" w:cs="Arial"/>
          <w:b/>
          <w:bCs/>
        </w:rPr>
        <w:t xml:space="preserve">(2) </w:t>
      </w:r>
      <w:r w:rsidRPr="00B82866">
        <w:rPr>
          <w:rFonts w:ascii="Arial" w:hAnsi="Arial" w:cs="Arial"/>
        </w:rPr>
        <w:t>3117 Optometry practices within the same PHN as full scope public ophthalmology services.</w:t>
      </w:r>
    </w:p>
    <w:p w14:paraId="4FAD8205" w14:textId="45849FEA" w:rsidR="00EE16DB" w:rsidRPr="00B82866" w:rsidRDefault="00EE16DB" w:rsidP="00B82866">
      <w:pPr>
        <w:pStyle w:val="ListParagraph"/>
        <w:numPr>
          <w:ilvl w:val="0"/>
          <w:numId w:val="3"/>
        </w:numPr>
        <w:spacing w:line="240" w:lineRule="auto"/>
        <w:rPr>
          <w:rFonts w:ascii="Arial" w:hAnsi="Arial" w:cs="Arial"/>
        </w:rPr>
      </w:pPr>
      <w:r w:rsidRPr="00B82866">
        <w:rPr>
          <w:rFonts w:ascii="Arial" w:hAnsi="Arial" w:cs="Arial"/>
          <w:b/>
          <w:bCs/>
        </w:rPr>
        <w:t>Scheme:</w:t>
      </w:r>
      <w:r w:rsidRPr="00B82866">
        <w:rPr>
          <w:rFonts w:ascii="Arial" w:hAnsi="Arial" w:cs="Arial"/>
        </w:rPr>
        <w:t xml:space="preserve"> A maximum of 260 GP practices across Australia will be eligible to participate. This amounts to 10 GP practices for each of the 26 PHNs. Most Victorian PHNs already participated in the Pilot and so have been excluded from the national scheme.</w:t>
      </w:r>
    </w:p>
    <w:p w14:paraId="7A4CBF85" w14:textId="6F267FA7" w:rsidR="00E92E19" w:rsidRPr="000802F6" w:rsidRDefault="00B82866" w:rsidP="00B82866">
      <w:pPr>
        <w:spacing w:line="240" w:lineRule="auto"/>
        <w:jc w:val="center"/>
        <w:rPr>
          <w:rFonts w:ascii="Arial" w:hAnsi="Arial" w:cs="Arial"/>
          <w:b/>
          <w:bCs/>
        </w:rPr>
      </w:pPr>
      <w:r w:rsidRPr="000802F6">
        <w:rPr>
          <w:rFonts w:ascii="Arial" w:hAnsi="Arial" w:cs="Arial"/>
          <w:b/>
          <w:bCs/>
          <w:sz w:val="28"/>
          <w:szCs w:val="28"/>
        </w:rPr>
        <w:lastRenderedPageBreak/>
        <w:t xml:space="preserve">Clear Vision for Older Australians: Streamlining eye health support </w:t>
      </w:r>
      <w:r w:rsidRPr="000802F6">
        <w:rPr>
          <w:rFonts w:ascii="Arial" w:hAnsi="Arial" w:cs="Arial"/>
          <w:b/>
          <w:bCs/>
          <w:sz w:val="28"/>
          <w:szCs w:val="28"/>
        </w:rPr>
        <w:br/>
        <w:t>for better outcomes in the Support at Home Program</w:t>
      </w:r>
    </w:p>
    <w:p w14:paraId="25B5A5E1" w14:textId="77777777" w:rsidR="00B82866" w:rsidRDefault="00B82866" w:rsidP="00B82866">
      <w:pPr>
        <w:spacing w:line="240" w:lineRule="auto"/>
        <w:rPr>
          <w:rFonts w:ascii="Arial" w:hAnsi="Arial" w:cs="Arial"/>
        </w:rPr>
      </w:pPr>
      <w:r w:rsidRPr="00B82866">
        <w:rPr>
          <w:rFonts w:ascii="Arial" w:hAnsi="Arial" w:cs="Arial"/>
          <w:b/>
          <w:bCs/>
        </w:rPr>
        <w:t>The Problem</w:t>
      </w:r>
      <w:r w:rsidRPr="00B82866">
        <w:rPr>
          <w:rFonts w:ascii="Arial" w:hAnsi="Arial" w:cs="Arial"/>
        </w:rPr>
        <w:t xml:space="preserve"> </w:t>
      </w:r>
      <w:r>
        <w:rPr>
          <w:rFonts w:ascii="Arial" w:hAnsi="Arial" w:cs="Arial"/>
        </w:rPr>
        <w:br/>
      </w:r>
      <w:r w:rsidRPr="00B82866">
        <w:rPr>
          <w:rFonts w:ascii="Arial" w:hAnsi="Arial" w:cs="Arial"/>
        </w:rPr>
        <w:t>Vision impairment costs the economy $27 billion annually, a figure</w:t>
      </w:r>
      <w:r>
        <w:rPr>
          <w:rFonts w:ascii="Arial" w:hAnsi="Arial" w:cs="Arial"/>
        </w:rPr>
        <w:t xml:space="preserve"> </w:t>
      </w:r>
      <w:r w:rsidRPr="00B82866">
        <w:rPr>
          <w:rFonts w:ascii="Arial" w:hAnsi="Arial" w:cs="Arial"/>
        </w:rPr>
        <w:t>set to rise in the decades ahead as Australia’s population continues</w:t>
      </w:r>
      <w:r>
        <w:rPr>
          <w:rFonts w:ascii="Arial" w:hAnsi="Arial" w:cs="Arial"/>
        </w:rPr>
        <w:t xml:space="preserve"> </w:t>
      </w:r>
      <w:r w:rsidRPr="00B82866">
        <w:rPr>
          <w:rFonts w:ascii="Arial" w:hAnsi="Arial" w:cs="Arial"/>
        </w:rPr>
        <w:t>to rapidly age. Many people who live in residential aged care facilities</w:t>
      </w:r>
      <w:r>
        <w:rPr>
          <w:rFonts w:ascii="Arial" w:hAnsi="Arial" w:cs="Arial"/>
        </w:rPr>
        <w:t xml:space="preserve"> </w:t>
      </w:r>
      <w:r w:rsidRPr="00B82866">
        <w:rPr>
          <w:rFonts w:ascii="Arial" w:hAnsi="Arial" w:cs="Arial"/>
        </w:rPr>
        <w:t xml:space="preserve">have eye conditions. </w:t>
      </w:r>
    </w:p>
    <w:p w14:paraId="6FB01A76" w14:textId="4A973413" w:rsidR="00B82866" w:rsidRPr="00B82866" w:rsidRDefault="00B82866" w:rsidP="00B82866">
      <w:pPr>
        <w:spacing w:line="240" w:lineRule="auto"/>
        <w:rPr>
          <w:rFonts w:ascii="Arial" w:hAnsi="Arial" w:cs="Arial"/>
        </w:rPr>
      </w:pPr>
      <w:r w:rsidRPr="00B82866">
        <w:rPr>
          <w:rFonts w:ascii="Arial" w:hAnsi="Arial" w:cs="Arial"/>
        </w:rPr>
        <w:t>The assistive technology and specialised training</w:t>
      </w:r>
      <w:r>
        <w:rPr>
          <w:rFonts w:ascii="Arial" w:hAnsi="Arial" w:cs="Arial"/>
        </w:rPr>
        <w:t xml:space="preserve"> </w:t>
      </w:r>
      <w:r w:rsidRPr="00B82866">
        <w:rPr>
          <w:rFonts w:ascii="Arial" w:hAnsi="Arial" w:cs="Arial"/>
        </w:rPr>
        <w:t>that helps older people with eye conditions continue to live safely at</w:t>
      </w:r>
      <w:r>
        <w:rPr>
          <w:rFonts w:ascii="Arial" w:hAnsi="Arial" w:cs="Arial"/>
        </w:rPr>
        <w:t xml:space="preserve"> </w:t>
      </w:r>
      <w:r w:rsidRPr="00B82866">
        <w:rPr>
          <w:rFonts w:ascii="Arial" w:hAnsi="Arial" w:cs="Arial"/>
        </w:rPr>
        <w:t>home isn’t widely understood in the mainstream community, or even</w:t>
      </w:r>
      <w:r>
        <w:rPr>
          <w:rFonts w:ascii="Arial" w:hAnsi="Arial" w:cs="Arial"/>
        </w:rPr>
        <w:t xml:space="preserve"> </w:t>
      </w:r>
      <w:r w:rsidRPr="00B82866">
        <w:rPr>
          <w:rFonts w:ascii="Arial" w:hAnsi="Arial" w:cs="Arial"/>
        </w:rPr>
        <w:t>within the aged care sector.</w:t>
      </w:r>
    </w:p>
    <w:p w14:paraId="2E17BE9F" w14:textId="77777777" w:rsidR="00BA4712" w:rsidRDefault="00B82866" w:rsidP="00B82866">
      <w:pPr>
        <w:spacing w:line="240" w:lineRule="auto"/>
        <w:rPr>
          <w:rFonts w:ascii="Arial" w:hAnsi="Arial" w:cs="Arial"/>
        </w:rPr>
      </w:pPr>
      <w:r w:rsidRPr="00B82866">
        <w:rPr>
          <w:rFonts w:ascii="Arial" w:hAnsi="Arial" w:cs="Arial"/>
          <w:b/>
          <w:bCs/>
        </w:rPr>
        <w:t>The Solution</w:t>
      </w:r>
      <w:r>
        <w:rPr>
          <w:rFonts w:ascii="Arial" w:hAnsi="Arial" w:cs="Arial"/>
        </w:rPr>
        <w:br/>
      </w:r>
      <w:r w:rsidRPr="00B82866">
        <w:rPr>
          <w:rFonts w:ascii="Arial" w:hAnsi="Arial" w:cs="Arial"/>
        </w:rPr>
        <w:t xml:space="preserve">To address this growing </w:t>
      </w:r>
    </w:p>
    <w:p w14:paraId="3AE4C25A" w14:textId="4AD02491" w:rsidR="00B82866" w:rsidRDefault="00B82866" w:rsidP="00B82866">
      <w:pPr>
        <w:spacing w:line="240" w:lineRule="auto"/>
        <w:rPr>
          <w:rFonts w:ascii="Arial" w:hAnsi="Arial" w:cs="Arial"/>
        </w:rPr>
      </w:pPr>
      <w:r w:rsidRPr="00B82866">
        <w:rPr>
          <w:rFonts w:ascii="Arial" w:hAnsi="Arial" w:cs="Arial"/>
        </w:rPr>
        <w:t>problem, it is necessary to improve aged</w:t>
      </w:r>
      <w:r>
        <w:rPr>
          <w:rFonts w:ascii="Arial" w:hAnsi="Arial" w:cs="Arial"/>
        </w:rPr>
        <w:t xml:space="preserve"> </w:t>
      </w:r>
      <w:r w:rsidRPr="00B82866">
        <w:rPr>
          <w:rFonts w:ascii="Arial" w:hAnsi="Arial" w:cs="Arial"/>
        </w:rPr>
        <w:t>care assessors’ training and awareness of vision impairment. All</w:t>
      </w:r>
      <w:r>
        <w:rPr>
          <w:rFonts w:ascii="Arial" w:hAnsi="Arial" w:cs="Arial"/>
        </w:rPr>
        <w:t xml:space="preserve"> </w:t>
      </w:r>
      <w:r w:rsidRPr="00B82866">
        <w:rPr>
          <w:rFonts w:ascii="Arial" w:hAnsi="Arial" w:cs="Arial"/>
        </w:rPr>
        <w:t>participants in the new Home Support Program and residential care</w:t>
      </w:r>
      <w:r>
        <w:rPr>
          <w:rFonts w:ascii="Arial" w:hAnsi="Arial" w:cs="Arial"/>
        </w:rPr>
        <w:t xml:space="preserve"> </w:t>
      </w:r>
      <w:r w:rsidRPr="00B82866">
        <w:rPr>
          <w:rFonts w:ascii="Arial" w:hAnsi="Arial" w:cs="Arial"/>
        </w:rPr>
        <w:t>settings who have vision impairment flagged at the assessment</w:t>
      </w:r>
      <w:r>
        <w:rPr>
          <w:rFonts w:ascii="Arial" w:hAnsi="Arial" w:cs="Arial"/>
        </w:rPr>
        <w:t xml:space="preserve"> </w:t>
      </w:r>
      <w:r w:rsidRPr="00B82866">
        <w:rPr>
          <w:rFonts w:ascii="Arial" w:hAnsi="Arial" w:cs="Arial"/>
        </w:rPr>
        <w:t>stage should be automatically referred to accredited blindness and low</w:t>
      </w:r>
      <w:r>
        <w:rPr>
          <w:rFonts w:ascii="Arial" w:hAnsi="Arial" w:cs="Arial"/>
        </w:rPr>
        <w:t xml:space="preserve"> </w:t>
      </w:r>
      <w:r w:rsidRPr="00B82866">
        <w:rPr>
          <w:rFonts w:ascii="Arial" w:hAnsi="Arial" w:cs="Arial"/>
        </w:rPr>
        <w:t>vision service providers.</w:t>
      </w:r>
    </w:p>
    <w:p w14:paraId="4981ED39" w14:textId="1F408E35" w:rsidR="00B82866" w:rsidRDefault="00B82866" w:rsidP="00B82866">
      <w:pPr>
        <w:spacing w:line="240" w:lineRule="auto"/>
        <w:rPr>
          <w:rFonts w:ascii="Arial" w:hAnsi="Arial" w:cs="Arial"/>
        </w:rPr>
      </w:pPr>
      <w:r w:rsidRPr="00B82866">
        <w:rPr>
          <w:rFonts w:ascii="Arial" w:hAnsi="Arial" w:cs="Arial"/>
          <w:b/>
          <w:bCs/>
        </w:rPr>
        <w:t>The Ask</w:t>
      </w:r>
      <w:r>
        <w:rPr>
          <w:rFonts w:ascii="Arial" w:hAnsi="Arial" w:cs="Arial"/>
        </w:rPr>
        <w:br/>
      </w:r>
      <w:r w:rsidRPr="00B82866">
        <w:rPr>
          <w:rFonts w:ascii="Arial" w:hAnsi="Arial" w:cs="Arial"/>
        </w:rPr>
        <w:t>Vision 2020 Australia is calling on the Australian Government to prioritise</w:t>
      </w:r>
      <w:r>
        <w:rPr>
          <w:rFonts w:ascii="Arial" w:hAnsi="Arial" w:cs="Arial"/>
        </w:rPr>
        <w:t xml:space="preserve"> </w:t>
      </w:r>
      <w:r w:rsidRPr="00B82866">
        <w:rPr>
          <w:rFonts w:ascii="Arial" w:hAnsi="Arial" w:cs="Arial"/>
        </w:rPr>
        <w:t>vision rehabilitation in the aged care reform</w:t>
      </w:r>
      <w:r>
        <w:rPr>
          <w:rFonts w:ascii="Arial" w:hAnsi="Arial" w:cs="Arial"/>
        </w:rPr>
        <w:t xml:space="preserve"> </w:t>
      </w:r>
      <w:r w:rsidRPr="00B82866">
        <w:rPr>
          <w:rFonts w:ascii="Arial" w:hAnsi="Arial" w:cs="Arial"/>
        </w:rPr>
        <w:t>agenda by improving the assessment and</w:t>
      </w:r>
      <w:r>
        <w:rPr>
          <w:rFonts w:ascii="Arial" w:hAnsi="Arial" w:cs="Arial"/>
        </w:rPr>
        <w:t xml:space="preserve"> </w:t>
      </w:r>
      <w:r w:rsidRPr="00B82866">
        <w:rPr>
          <w:rFonts w:ascii="Arial" w:hAnsi="Arial" w:cs="Arial"/>
        </w:rPr>
        <w:t>referral process and providing dedicated</w:t>
      </w:r>
      <w:r>
        <w:rPr>
          <w:rFonts w:ascii="Arial" w:hAnsi="Arial" w:cs="Arial"/>
        </w:rPr>
        <w:t xml:space="preserve"> </w:t>
      </w:r>
      <w:r w:rsidRPr="00B82866">
        <w:rPr>
          <w:rFonts w:ascii="Arial" w:hAnsi="Arial" w:cs="Arial"/>
        </w:rPr>
        <w:t>funding to specialist providers to deliver</w:t>
      </w:r>
      <w:r>
        <w:rPr>
          <w:rFonts w:ascii="Arial" w:hAnsi="Arial" w:cs="Arial"/>
        </w:rPr>
        <w:t xml:space="preserve"> </w:t>
      </w:r>
      <w:r w:rsidRPr="00B82866">
        <w:rPr>
          <w:rFonts w:ascii="Arial" w:hAnsi="Arial" w:cs="Arial"/>
        </w:rPr>
        <w:t>adequate and cost-effective care.</w:t>
      </w:r>
    </w:p>
    <w:p w14:paraId="781366F2" w14:textId="6DC7F892" w:rsidR="00B82866" w:rsidRDefault="00B82866" w:rsidP="00B82866">
      <w:pPr>
        <w:spacing w:line="240" w:lineRule="auto"/>
        <w:rPr>
          <w:rFonts w:ascii="Arial" w:hAnsi="Arial" w:cs="Arial"/>
        </w:rPr>
      </w:pPr>
      <w:r w:rsidRPr="00B82866">
        <w:rPr>
          <w:rFonts w:ascii="Arial" w:hAnsi="Arial" w:cs="Arial"/>
        </w:rPr>
        <w:t>The Australian Government can achieve this</w:t>
      </w:r>
      <w:r>
        <w:rPr>
          <w:rFonts w:ascii="Arial" w:hAnsi="Arial" w:cs="Arial"/>
        </w:rPr>
        <w:t xml:space="preserve"> </w:t>
      </w:r>
      <w:r w:rsidRPr="00B82866">
        <w:rPr>
          <w:rFonts w:ascii="Arial" w:hAnsi="Arial" w:cs="Arial"/>
        </w:rPr>
        <w:t>through the following actions:</w:t>
      </w:r>
    </w:p>
    <w:p w14:paraId="6A52B6FA" w14:textId="64F16386" w:rsidR="00E92E19" w:rsidRDefault="00B82866" w:rsidP="00B82866">
      <w:pPr>
        <w:spacing w:line="240" w:lineRule="auto"/>
        <w:rPr>
          <w:rFonts w:ascii="Arial" w:hAnsi="Arial" w:cs="Arial"/>
        </w:rPr>
      </w:pPr>
      <w:r w:rsidRPr="00B82866">
        <w:rPr>
          <w:rFonts w:ascii="Arial" w:hAnsi="Arial" w:cs="Arial"/>
          <w:u w:val="single"/>
        </w:rPr>
        <w:t>Improving Awareness and Training for Assessors</w:t>
      </w:r>
      <w:r>
        <w:rPr>
          <w:rFonts w:ascii="Arial" w:hAnsi="Arial" w:cs="Arial"/>
        </w:rPr>
        <w:br/>
      </w:r>
      <w:r w:rsidRPr="00B82866">
        <w:rPr>
          <w:rFonts w:ascii="Arial" w:hAnsi="Arial" w:cs="Arial"/>
        </w:rPr>
        <w:t>Develop guidelines and training programs for aged</w:t>
      </w:r>
      <w:r>
        <w:rPr>
          <w:rFonts w:ascii="Arial" w:hAnsi="Arial" w:cs="Arial"/>
        </w:rPr>
        <w:t xml:space="preserve"> </w:t>
      </w:r>
      <w:r w:rsidRPr="00B82866">
        <w:rPr>
          <w:rFonts w:ascii="Arial" w:hAnsi="Arial" w:cs="Arial"/>
        </w:rPr>
        <w:t>care assessors that clearly outline when to refer</w:t>
      </w:r>
      <w:r>
        <w:rPr>
          <w:rFonts w:ascii="Arial" w:hAnsi="Arial" w:cs="Arial"/>
        </w:rPr>
        <w:t xml:space="preserve"> </w:t>
      </w:r>
      <w:r w:rsidRPr="00B82866">
        <w:rPr>
          <w:rFonts w:ascii="Arial" w:hAnsi="Arial" w:cs="Arial"/>
        </w:rPr>
        <w:t>clients to vision service providers, based on specific</w:t>
      </w:r>
      <w:r>
        <w:rPr>
          <w:rFonts w:ascii="Arial" w:hAnsi="Arial" w:cs="Arial"/>
        </w:rPr>
        <w:t xml:space="preserve"> </w:t>
      </w:r>
      <w:r w:rsidRPr="00B82866">
        <w:rPr>
          <w:rFonts w:ascii="Arial" w:hAnsi="Arial" w:cs="Arial"/>
        </w:rPr>
        <w:t>triggers identified in the assessment. This will</w:t>
      </w:r>
      <w:r>
        <w:rPr>
          <w:rFonts w:ascii="Arial" w:hAnsi="Arial" w:cs="Arial"/>
        </w:rPr>
        <w:t xml:space="preserve"> </w:t>
      </w:r>
      <w:r w:rsidRPr="00B82866">
        <w:rPr>
          <w:rFonts w:ascii="Arial" w:hAnsi="Arial" w:cs="Arial"/>
        </w:rPr>
        <w:t>ensure that vision impairment is not overlooked,</w:t>
      </w:r>
      <w:r>
        <w:rPr>
          <w:rFonts w:ascii="Arial" w:hAnsi="Arial" w:cs="Arial"/>
        </w:rPr>
        <w:t xml:space="preserve"> </w:t>
      </w:r>
      <w:r w:rsidRPr="00B82866">
        <w:rPr>
          <w:rFonts w:ascii="Arial" w:hAnsi="Arial" w:cs="Arial"/>
        </w:rPr>
        <w:t>and that older Australians receive the support they</w:t>
      </w:r>
      <w:r>
        <w:rPr>
          <w:rFonts w:ascii="Arial" w:hAnsi="Arial" w:cs="Arial"/>
        </w:rPr>
        <w:t xml:space="preserve"> </w:t>
      </w:r>
      <w:r w:rsidRPr="00B82866">
        <w:rPr>
          <w:rFonts w:ascii="Arial" w:hAnsi="Arial" w:cs="Arial"/>
        </w:rPr>
        <w:t>need promptly</w:t>
      </w:r>
      <w:r>
        <w:rPr>
          <w:rFonts w:ascii="Arial" w:hAnsi="Arial" w:cs="Arial"/>
        </w:rPr>
        <w:t>.</w:t>
      </w:r>
    </w:p>
    <w:p w14:paraId="26AE60C3" w14:textId="1EDBF8EA" w:rsidR="0058322C" w:rsidRDefault="0058322C" w:rsidP="0058322C">
      <w:pPr>
        <w:spacing w:line="240" w:lineRule="auto"/>
        <w:rPr>
          <w:rFonts w:ascii="Arial" w:hAnsi="Arial" w:cs="Arial"/>
        </w:rPr>
      </w:pPr>
      <w:r w:rsidRPr="0058322C">
        <w:rPr>
          <w:rFonts w:ascii="Arial" w:hAnsi="Arial" w:cs="Arial"/>
          <w:u w:val="single"/>
        </w:rPr>
        <w:t>Streamlining Referral Pathway</w:t>
      </w:r>
      <w:r>
        <w:rPr>
          <w:rFonts w:ascii="Arial" w:hAnsi="Arial" w:cs="Arial"/>
        </w:rPr>
        <w:br/>
      </w:r>
      <w:r w:rsidRPr="0058322C">
        <w:rPr>
          <w:rFonts w:ascii="Arial" w:hAnsi="Arial" w:cs="Arial"/>
        </w:rPr>
        <w:t>Introduce a new requirement that all participants</w:t>
      </w:r>
      <w:r>
        <w:rPr>
          <w:rFonts w:ascii="Arial" w:hAnsi="Arial" w:cs="Arial"/>
        </w:rPr>
        <w:t xml:space="preserve"> </w:t>
      </w:r>
      <w:r w:rsidRPr="0058322C">
        <w:rPr>
          <w:rFonts w:ascii="Arial" w:hAnsi="Arial" w:cs="Arial"/>
        </w:rPr>
        <w:t>in the new Home Support Program and residential</w:t>
      </w:r>
      <w:r>
        <w:rPr>
          <w:rFonts w:ascii="Arial" w:hAnsi="Arial" w:cs="Arial"/>
        </w:rPr>
        <w:t xml:space="preserve"> </w:t>
      </w:r>
      <w:r w:rsidRPr="0058322C">
        <w:rPr>
          <w:rFonts w:ascii="Arial" w:hAnsi="Arial" w:cs="Arial"/>
        </w:rPr>
        <w:t>care settings who have vision impairment flagged</w:t>
      </w:r>
      <w:r>
        <w:rPr>
          <w:rFonts w:ascii="Arial" w:hAnsi="Arial" w:cs="Arial"/>
        </w:rPr>
        <w:t xml:space="preserve"> </w:t>
      </w:r>
      <w:r w:rsidRPr="0058322C">
        <w:rPr>
          <w:rFonts w:ascii="Arial" w:hAnsi="Arial" w:cs="Arial"/>
        </w:rPr>
        <w:t>at the assessment stage be automatically referred</w:t>
      </w:r>
      <w:r>
        <w:rPr>
          <w:rFonts w:ascii="Arial" w:hAnsi="Arial" w:cs="Arial"/>
        </w:rPr>
        <w:t xml:space="preserve"> </w:t>
      </w:r>
      <w:r w:rsidRPr="0058322C">
        <w:rPr>
          <w:rFonts w:ascii="Arial" w:hAnsi="Arial" w:cs="Arial"/>
        </w:rPr>
        <w:t>to accredited blindness and low vision service</w:t>
      </w:r>
      <w:r>
        <w:rPr>
          <w:rFonts w:ascii="Arial" w:hAnsi="Arial" w:cs="Arial"/>
        </w:rPr>
        <w:t xml:space="preserve"> </w:t>
      </w:r>
      <w:r w:rsidRPr="0058322C">
        <w:rPr>
          <w:rFonts w:ascii="Arial" w:hAnsi="Arial" w:cs="Arial"/>
        </w:rPr>
        <w:t>providers. These specialist providers would be</w:t>
      </w:r>
      <w:r>
        <w:rPr>
          <w:rFonts w:ascii="Arial" w:hAnsi="Arial" w:cs="Arial"/>
        </w:rPr>
        <w:t xml:space="preserve"> </w:t>
      </w:r>
      <w:r w:rsidRPr="0058322C">
        <w:rPr>
          <w:rFonts w:ascii="Arial" w:hAnsi="Arial" w:cs="Arial"/>
        </w:rPr>
        <w:t>funded through a block grant and empowered to</w:t>
      </w:r>
      <w:r>
        <w:rPr>
          <w:rFonts w:ascii="Arial" w:hAnsi="Arial" w:cs="Arial"/>
        </w:rPr>
        <w:t xml:space="preserve"> </w:t>
      </w:r>
      <w:r w:rsidRPr="0058322C">
        <w:rPr>
          <w:rFonts w:ascii="Arial" w:hAnsi="Arial" w:cs="Arial"/>
        </w:rPr>
        <w:t>determine the necessary interventions and allocate</w:t>
      </w:r>
      <w:r>
        <w:rPr>
          <w:rFonts w:ascii="Arial" w:hAnsi="Arial" w:cs="Arial"/>
        </w:rPr>
        <w:t xml:space="preserve"> </w:t>
      </w:r>
      <w:r w:rsidRPr="0058322C">
        <w:rPr>
          <w:rFonts w:ascii="Arial" w:hAnsi="Arial" w:cs="Arial"/>
        </w:rPr>
        <w:t>resources effectively.</w:t>
      </w:r>
    </w:p>
    <w:p w14:paraId="7BE64E1B" w14:textId="775EF6A1" w:rsidR="0058322C" w:rsidRDefault="0058322C" w:rsidP="0058322C">
      <w:pPr>
        <w:spacing w:line="240" w:lineRule="auto"/>
        <w:rPr>
          <w:rFonts w:ascii="Arial" w:hAnsi="Arial" w:cs="Arial"/>
        </w:rPr>
      </w:pPr>
      <w:r w:rsidRPr="0058322C">
        <w:rPr>
          <w:rFonts w:ascii="Arial" w:hAnsi="Arial" w:cs="Arial"/>
        </w:rPr>
        <w:t>This approach would remove the burden on</w:t>
      </w:r>
      <w:r>
        <w:rPr>
          <w:rFonts w:ascii="Arial" w:hAnsi="Arial" w:cs="Arial"/>
        </w:rPr>
        <w:t xml:space="preserve"> </w:t>
      </w:r>
      <w:r w:rsidRPr="0058322C">
        <w:rPr>
          <w:rFonts w:ascii="Arial" w:hAnsi="Arial" w:cs="Arial"/>
        </w:rPr>
        <w:t>generalist assessors to identify specific services,</w:t>
      </w:r>
      <w:r>
        <w:rPr>
          <w:rFonts w:ascii="Arial" w:hAnsi="Arial" w:cs="Arial"/>
        </w:rPr>
        <w:t xml:space="preserve"> </w:t>
      </w:r>
      <w:r w:rsidRPr="0058322C">
        <w:rPr>
          <w:rFonts w:ascii="Arial" w:hAnsi="Arial" w:cs="Arial"/>
        </w:rPr>
        <w:t>ensuring quicker access to tailored care for those</w:t>
      </w:r>
      <w:r>
        <w:rPr>
          <w:rFonts w:ascii="Arial" w:hAnsi="Arial" w:cs="Arial"/>
        </w:rPr>
        <w:t xml:space="preserve"> </w:t>
      </w:r>
      <w:r w:rsidRPr="0058322C">
        <w:rPr>
          <w:rFonts w:ascii="Arial" w:hAnsi="Arial" w:cs="Arial"/>
        </w:rPr>
        <w:t xml:space="preserve">with vision loss. </w:t>
      </w:r>
    </w:p>
    <w:p w14:paraId="61084440" w14:textId="77777777" w:rsidR="00BA4712" w:rsidRDefault="0058322C" w:rsidP="0058322C">
      <w:pPr>
        <w:spacing w:line="240" w:lineRule="auto"/>
        <w:rPr>
          <w:rFonts w:ascii="Arial" w:hAnsi="Arial" w:cs="Arial"/>
        </w:rPr>
      </w:pPr>
      <w:r w:rsidRPr="0058322C">
        <w:rPr>
          <w:rFonts w:ascii="Arial" w:hAnsi="Arial" w:cs="Arial"/>
          <w:u w:val="single"/>
        </w:rPr>
        <w:t>Dedicating Block Funding for Vision Services</w:t>
      </w:r>
      <w:r>
        <w:rPr>
          <w:rFonts w:ascii="Arial" w:hAnsi="Arial" w:cs="Arial"/>
        </w:rPr>
        <w:t xml:space="preserve"> </w:t>
      </w:r>
      <w:r>
        <w:rPr>
          <w:rFonts w:ascii="Arial" w:hAnsi="Arial" w:cs="Arial"/>
        </w:rPr>
        <w:br/>
      </w:r>
      <w:r w:rsidRPr="0058322C">
        <w:rPr>
          <w:rFonts w:ascii="Arial" w:hAnsi="Arial" w:cs="Arial"/>
        </w:rPr>
        <w:t>Allocate specific funding for vision support</w:t>
      </w:r>
      <w:r>
        <w:rPr>
          <w:rFonts w:ascii="Arial" w:hAnsi="Arial" w:cs="Arial"/>
        </w:rPr>
        <w:t xml:space="preserve"> </w:t>
      </w:r>
      <w:r w:rsidRPr="0058322C">
        <w:rPr>
          <w:rFonts w:ascii="Arial" w:hAnsi="Arial" w:cs="Arial"/>
        </w:rPr>
        <w:t>services to address unmet needs in aged care.</w:t>
      </w:r>
      <w:r>
        <w:rPr>
          <w:rFonts w:ascii="Arial" w:hAnsi="Arial" w:cs="Arial"/>
        </w:rPr>
        <w:t xml:space="preserve"> </w:t>
      </w:r>
      <w:r w:rsidRPr="0058322C">
        <w:rPr>
          <w:rFonts w:ascii="Arial" w:hAnsi="Arial" w:cs="Arial"/>
        </w:rPr>
        <w:t>This funding should cover both episodic and</w:t>
      </w:r>
      <w:r>
        <w:rPr>
          <w:rFonts w:ascii="Arial" w:hAnsi="Arial" w:cs="Arial"/>
        </w:rPr>
        <w:t xml:space="preserve"> </w:t>
      </w:r>
      <w:r w:rsidRPr="0058322C">
        <w:rPr>
          <w:rFonts w:ascii="Arial" w:hAnsi="Arial" w:cs="Arial"/>
        </w:rPr>
        <w:t>ongoing care, reflecting the varying nature of vision</w:t>
      </w:r>
      <w:r>
        <w:rPr>
          <w:rFonts w:ascii="Arial" w:hAnsi="Arial" w:cs="Arial"/>
        </w:rPr>
        <w:t xml:space="preserve"> </w:t>
      </w:r>
      <w:r w:rsidRPr="0058322C">
        <w:rPr>
          <w:rFonts w:ascii="Arial" w:hAnsi="Arial" w:cs="Arial"/>
        </w:rPr>
        <w:t>impairment management. By funding specialist</w:t>
      </w:r>
      <w:r>
        <w:rPr>
          <w:rFonts w:ascii="Arial" w:hAnsi="Arial" w:cs="Arial"/>
        </w:rPr>
        <w:t xml:space="preserve"> </w:t>
      </w:r>
      <w:r w:rsidRPr="0058322C">
        <w:rPr>
          <w:rFonts w:ascii="Arial" w:hAnsi="Arial" w:cs="Arial"/>
        </w:rPr>
        <w:t>providers directly, the government can incentivize</w:t>
      </w:r>
      <w:r>
        <w:rPr>
          <w:rFonts w:ascii="Arial" w:hAnsi="Arial" w:cs="Arial"/>
        </w:rPr>
        <w:t xml:space="preserve"> </w:t>
      </w:r>
      <w:r w:rsidRPr="0058322C">
        <w:rPr>
          <w:rFonts w:ascii="Arial" w:hAnsi="Arial" w:cs="Arial"/>
        </w:rPr>
        <w:t>outcome-focused care, optimize resource use, and</w:t>
      </w:r>
      <w:r>
        <w:rPr>
          <w:rFonts w:ascii="Arial" w:hAnsi="Arial" w:cs="Arial"/>
        </w:rPr>
        <w:t xml:space="preserve"> </w:t>
      </w:r>
      <w:r w:rsidRPr="0058322C">
        <w:rPr>
          <w:rFonts w:ascii="Arial" w:hAnsi="Arial" w:cs="Arial"/>
        </w:rPr>
        <w:t>enhance the quality of life for older Australians.</w:t>
      </w:r>
      <w:r w:rsidR="00BA4712">
        <w:rPr>
          <w:rFonts w:ascii="Arial" w:hAnsi="Arial" w:cs="Arial"/>
        </w:rPr>
        <w:t xml:space="preserve"> </w:t>
      </w:r>
    </w:p>
    <w:p w14:paraId="3B9519B8" w14:textId="0E6F5B25" w:rsidR="0058322C" w:rsidRPr="0058322C" w:rsidRDefault="0058322C" w:rsidP="0058322C">
      <w:pPr>
        <w:spacing w:line="240" w:lineRule="auto"/>
        <w:rPr>
          <w:rFonts w:ascii="Arial" w:hAnsi="Arial" w:cs="Arial"/>
        </w:rPr>
      </w:pPr>
      <w:r w:rsidRPr="0058322C">
        <w:rPr>
          <w:rFonts w:ascii="Arial" w:hAnsi="Arial" w:cs="Arial"/>
        </w:rPr>
        <w:t>Additionally, service providers would be equipped</w:t>
      </w:r>
      <w:r>
        <w:rPr>
          <w:rFonts w:ascii="Arial" w:hAnsi="Arial" w:cs="Arial"/>
        </w:rPr>
        <w:t xml:space="preserve"> </w:t>
      </w:r>
      <w:r w:rsidRPr="0058322C">
        <w:rPr>
          <w:rFonts w:ascii="Arial" w:hAnsi="Arial" w:cs="Arial"/>
        </w:rPr>
        <w:t>to deliver timely interventions that prevent further</w:t>
      </w:r>
      <w:r>
        <w:rPr>
          <w:rFonts w:ascii="Arial" w:hAnsi="Arial" w:cs="Arial"/>
        </w:rPr>
        <w:t xml:space="preserve"> </w:t>
      </w:r>
      <w:r w:rsidRPr="0058322C">
        <w:rPr>
          <w:rFonts w:ascii="Arial" w:hAnsi="Arial" w:cs="Arial"/>
        </w:rPr>
        <w:t>deterioration of vision and reduce the overall cost</w:t>
      </w:r>
      <w:r>
        <w:rPr>
          <w:rFonts w:ascii="Arial" w:hAnsi="Arial" w:cs="Arial"/>
        </w:rPr>
        <w:t xml:space="preserve"> </w:t>
      </w:r>
      <w:r w:rsidRPr="0058322C">
        <w:rPr>
          <w:rFonts w:ascii="Arial" w:hAnsi="Arial" w:cs="Arial"/>
        </w:rPr>
        <w:t xml:space="preserve">to the healthcare </w:t>
      </w:r>
      <w:r>
        <w:rPr>
          <w:rFonts w:ascii="Arial" w:hAnsi="Arial" w:cs="Arial"/>
        </w:rPr>
        <w:t>s</w:t>
      </w:r>
      <w:r w:rsidRPr="0058322C">
        <w:rPr>
          <w:rFonts w:ascii="Arial" w:hAnsi="Arial" w:cs="Arial"/>
        </w:rPr>
        <w:t>ystem.</w:t>
      </w:r>
    </w:p>
    <w:sectPr w:rsidR="0058322C" w:rsidRPr="0058322C" w:rsidSect="00BA4712">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05FFE"/>
    <w:multiLevelType w:val="hybridMultilevel"/>
    <w:tmpl w:val="BDAC0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87085B"/>
    <w:multiLevelType w:val="hybridMultilevel"/>
    <w:tmpl w:val="D9E00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E986B8A"/>
    <w:multiLevelType w:val="hybridMultilevel"/>
    <w:tmpl w:val="C186A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2747775">
    <w:abstractNumId w:val="1"/>
  </w:num>
  <w:num w:numId="2" w16cid:durableId="1505124325">
    <w:abstractNumId w:val="0"/>
  </w:num>
  <w:num w:numId="3" w16cid:durableId="1029839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E19"/>
    <w:rsid w:val="000802F6"/>
    <w:rsid w:val="000C54F5"/>
    <w:rsid w:val="0058322C"/>
    <w:rsid w:val="006B34E9"/>
    <w:rsid w:val="0070158C"/>
    <w:rsid w:val="00B82866"/>
    <w:rsid w:val="00BA4712"/>
    <w:rsid w:val="00DB1C64"/>
    <w:rsid w:val="00E92E19"/>
    <w:rsid w:val="00EE16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EBB6"/>
  <w15:chartTrackingRefBased/>
  <w15:docId w15:val="{AD6875C7-BA43-46DD-88E9-E41E9623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2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E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E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E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E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E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E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E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E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2E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E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E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E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E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E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E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E19"/>
    <w:rPr>
      <w:rFonts w:eastAsiaTheme="majorEastAsia" w:cstheme="majorBidi"/>
      <w:color w:val="272727" w:themeColor="text1" w:themeTint="D8"/>
    </w:rPr>
  </w:style>
  <w:style w:type="paragraph" w:styleId="Title">
    <w:name w:val="Title"/>
    <w:basedOn w:val="Normal"/>
    <w:next w:val="Normal"/>
    <w:link w:val="TitleChar"/>
    <w:uiPriority w:val="10"/>
    <w:qFormat/>
    <w:rsid w:val="00E92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E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E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E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E19"/>
    <w:pPr>
      <w:spacing w:before="160"/>
      <w:jc w:val="center"/>
    </w:pPr>
    <w:rPr>
      <w:i/>
      <w:iCs/>
      <w:color w:val="404040" w:themeColor="text1" w:themeTint="BF"/>
    </w:rPr>
  </w:style>
  <w:style w:type="character" w:customStyle="1" w:styleId="QuoteChar">
    <w:name w:val="Quote Char"/>
    <w:basedOn w:val="DefaultParagraphFont"/>
    <w:link w:val="Quote"/>
    <w:uiPriority w:val="29"/>
    <w:rsid w:val="00E92E19"/>
    <w:rPr>
      <w:i/>
      <w:iCs/>
      <w:color w:val="404040" w:themeColor="text1" w:themeTint="BF"/>
    </w:rPr>
  </w:style>
  <w:style w:type="paragraph" w:styleId="ListParagraph">
    <w:name w:val="List Paragraph"/>
    <w:basedOn w:val="Normal"/>
    <w:uiPriority w:val="34"/>
    <w:qFormat/>
    <w:rsid w:val="00E92E19"/>
    <w:pPr>
      <w:ind w:left="720"/>
      <w:contextualSpacing/>
    </w:pPr>
  </w:style>
  <w:style w:type="character" w:styleId="IntenseEmphasis">
    <w:name w:val="Intense Emphasis"/>
    <w:basedOn w:val="DefaultParagraphFont"/>
    <w:uiPriority w:val="21"/>
    <w:qFormat/>
    <w:rsid w:val="00E92E19"/>
    <w:rPr>
      <w:i/>
      <w:iCs/>
      <w:color w:val="0F4761" w:themeColor="accent1" w:themeShade="BF"/>
    </w:rPr>
  </w:style>
  <w:style w:type="paragraph" w:styleId="IntenseQuote">
    <w:name w:val="Intense Quote"/>
    <w:basedOn w:val="Normal"/>
    <w:next w:val="Normal"/>
    <w:link w:val="IntenseQuoteChar"/>
    <w:uiPriority w:val="30"/>
    <w:qFormat/>
    <w:rsid w:val="00E92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E19"/>
    <w:rPr>
      <w:i/>
      <w:iCs/>
      <w:color w:val="0F4761" w:themeColor="accent1" w:themeShade="BF"/>
    </w:rPr>
  </w:style>
  <w:style w:type="character" w:styleId="IntenseReference">
    <w:name w:val="Intense Reference"/>
    <w:basedOn w:val="DefaultParagraphFont"/>
    <w:uiPriority w:val="32"/>
    <w:qFormat/>
    <w:rsid w:val="00E92E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d0d9b4-ea0a-4f91-8ef9-801b5021269f">
      <Terms xmlns="http://schemas.microsoft.com/office/infopath/2007/PartnerControls"/>
    </lcf76f155ced4ddcb4097134ff3c332f>
    <TaxCatchAll xmlns="37c2fd94-8164-4e76-99fa-8733568052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080E7CE5CF114B90954CA3A674009A" ma:contentTypeVersion="19" ma:contentTypeDescription="Create a new document." ma:contentTypeScope="" ma:versionID="506ae18cfb38c56b3e457ec3f0c20ec4">
  <xsd:schema xmlns:xsd="http://www.w3.org/2001/XMLSchema" xmlns:xs="http://www.w3.org/2001/XMLSchema" xmlns:p="http://schemas.microsoft.com/office/2006/metadata/properties" xmlns:ns2="78d0d9b4-ea0a-4f91-8ef9-801b5021269f" xmlns:ns3="37c2fd94-8164-4e76-99fa-8733568052a1" targetNamespace="http://schemas.microsoft.com/office/2006/metadata/properties" ma:root="true" ma:fieldsID="ba563ae789023ba593b9f4690bbaf6c2" ns2:_="" ns3:_="">
    <xsd:import namespace="78d0d9b4-ea0a-4f91-8ef9-801b5021269f"/>
    <xsd:import namespace="37c2fd94-8164-4e76-99fa-8733568052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0d9b4-ea0a-4f91-8ef9-801b50212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d7da67-9b39-49fd-b113-23cd3c6ecb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c2fd94-8164-4e76-99fa-8733568052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62c421-469e-4809-b711-e4d233da4741}" ma:internalName="TaxCatchAll" ma:showField="CatchAllData" ma:web="37c2fd94-8164-4e76-99fa-8733568052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EF276C-4EC0-4AC2-A587-EC9FF4D3C16C}">
  <ds:schemaRefs>
    <ds:schemaRef ds:uri="http://schemas.microsoft.com/office/2006/metadata/properties"/>
    <ds:schemaRef ds:uri="http://schemas.microsoft.com/office/infopath/2007/PartnerControls"/>
    <ds:schemaRef ds:uri="78d0d9b4-ea0a-4f91-8ef9-801b5021269f"/>
    <ds:schemaRef ds:uri="37c2fd94-8164-4e76-99fa-8733568052a1"/>
  </ds:schemaRefs>
</ds:datastoreItem>
</file>

<file path=customXml/itemProps2.xml><?xml version="1.0" encoding="utf-8"?>
<ds:datastoreItem xmlns:ds="http://schemas.openxmlformats.org/officeDocument/2006/customXml" ds:itemID="{A6E6F032-7B4B-4B43-B338-00D79B3FBFD9}">
  <ds:schemaRefs>
    <ds:schemaRef ds:uri="http://schemas.microsoft.com/sharepoint/v3/contenttype/forms"/>
  </ds:schemaRefs>
</ds:datastoreItem>
</file>

<file path=customXml/itemProps3.xml><?xml version="1.0" encoding="utf-8"?>
<ds:datastoreItem xmlns:ds="http://schemas.openxmlformats.org/officeDocument/2006/customXml" ds:itemID="{507D475E-7C68-44DB-A274-8E8474BBB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0d9b4-ea0a-4f91-8ef9-801b5021269f"/>
    <ds:schemaRef ds:uri="37c2fd94-8164-4e76-99fa-873356805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Crawford</dc:creator>
  <cp:keywords/>
  <dc:description/>
  <cp:lastModifiedBy>Kevin Rigby</cp:lastModifiedBy>
  <cp:revision>3</cp:revision>
  <dcterms:created xsi:type="dcterms:W3CDTF">2025-03-11T21:47:00Z</dcterms:created>
  <dcterms:modified xsi:type="dcterms:W3CDTF">2025-03-11T21:47:00Z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0x010100BC080E7CE5CF114B90954CA3A674009A</vt:lpwstr>
  </property>
</Properties>
</file>