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FC6BC" w14:textId="6D2DD46E" w:rsidR="00D223D8" w:rsidRDefault="00D223D8" w:rsidP="00FD3931">
      <w:pPr>
        <w:pStyle w:val="Title"/>
        <w:rPr>
          <w:rStyle w:val="DocTitle"/>
        </w:rPr>
      </w:pPr>
      <w:r w:rsidRPr="00D223D8">
        <w:rPr>
          <w:rStyle w:val="DocTitle"/>
        </w:rPr>
        <w:t>Setting Australia’s Sights</w:t>
      </w:r>
      <w:r>
        <w:rPr>
          <w:rStyle w:val="DocTitle"/>
        </w:rPr>
        <w:t xml:space="preserve"> 2022</w:t>
      </w:r>
    </w:p>
    <w:p w14:paraId="5D6EE0B5" w14:textId="035C5A45" w:rsidR="00FD3931" w:rsidRPr="00EA5F73" w:rsidRDefault="00D223D8" w:rsidP="00911FEE">
      <w:pPr>
        <w:pStyle w:val="Subtitle"/>
      </w:pPr>
      <w:r w:rsidRPr="00D223D8">
        <w:rPr>
          <w:rStyle w:val="DocTitle"/>
        </w:rPr>
        <w:t xml:space="preserve">Key priorities for the Eye Health and Vision Care sector </w:t>
      </w:r>
    </w:p>
    <w:sdt>
      <w:sdtPr>
        <w:rPr>
          <w:b w:val="0"/>
          <w:noProof w:val="0"/>
        </w:rPr>
        <w:id w:val="1276214477"/>
        <w:docPartObj>
          <w:docPartGallery w:val="Table of Contents"/>
          <w:docPartUnique/>
        </w:docPartObj>
      </w:sdtPr>
      <w:sdtEndPr>
        <w:rPr>
          <w:bCs/>
        </w:rPr>
      </w:sdtEndPr>
      <w:sdtContent>
        <w:p w14:paraId="10B149EC" w14:textId="317A0DFA" w:rsidR="00936F38" w:rsidRDefault="00451DB1">
          <w:pPr>
            <w:pStyle w:val="TOC1"/>
            <w:rPr>
              <w:rFonts w:eastAsiaTheme="minorEastAsia"/>
              <w:b w:val="0"/>
              <w:sz w:val="22"/>
              <w:szCs w:val="28"/>
              <w:lang w:eastAsia="zh-CN" w:bidi="th-TH"/>
            </w:rPr>
          </w:pPr>
          <w:r>
            <w:fldChar w:fldCharType="begin"/>
          </w:r>
          <w:r>
            <w:instrText xml:space="preserve"> TOC \o "1-3" \h \z \u </w:instrText>
          </w:r>
          <w:r>
            <w:fldChar w:fldCharType="separate"/>
          </w:r>
          <w:hyperlink w:anchor="_Toc90376266" w:history="1">
            <w:r w:rsidR="00936F38" w:rsidRPr="00655EB0">
              <w:rPr>
                <w:rStyle w:val="Hyperlink"/>
                <w:rFonts w:eastAsia="Arial"/>
              </w:rPr>
              <w:t>Setting Australia’s Sights</w:t>
            </w:r>
            <w:r w:rsidR="00936F38">
              <w:rPr>
                <w:webHidden/>
              </w:rPr>
              <w:tab/>
            </w:r>
            <w:r w:rsidR="00936F38">
              <w:rPr>
                <w:webHidden/>
              </w:rPr>
              <w:fldChar w:fldCharType="begin"/>
            </w:r>
            <w:r w:rsidR="00936F38">
              <w:rPr>
                <w:webHidden/>
              </w:rPr>
              <w:instrText xml:space="preserve"> PAGEREF _Toc90376266 \h </w:instrText>
            </w:r>
            <w:r w:rsidR="00936F38">
              <w:rPr>
                <w:webHidden/>
              </w:rPr>
            </w:r>
            <w:r w:rsidR="00936F38">
              <w:rPr>
                <w:webHidden/>
              </w:rPr>
              <w:fldChar w:fldCharType="separate"/>
            </w:r>
            <w:r w:rsidR="00936F38">
              <w:rPr>
                <w:webHidden/>
              </w:rPr>
              <w:t>2</w:t>
            </w:r>
            <w:r w:rsidR="00936F38">
              <w:rPr>
                <w:webHidden/>
              </w:rPr>
              <w:fldChar w:fldCharType="end"/>
            </w:r>
          </w:hyperlink>
        </w:p>
        <w:p w14:paraId="60F5572E" w14:textId="00FE16C4" w:rsidR="00936F38" w:rsidRDefault="00844FFC">
          <w:pPr>
            <w:pStyle w:val="TOC1"/>
            <w:rPr>
              <w:rFonts w:eastAsiaTheme="minorEastAsia"/>
              <w:b w:val="0"/>
              <w:sz w:val="22"/>
              <w:szCs w:val="28"/>
              <w:lang w:eastAsia="zh-CN" w:bidi="th-TH"/>
            </w:rPr>
          </w:pPr>
          <w:hyperlink w:anchor="_Toc90376267" w:history="1">
            <w:r w:rsidR="00936F38" w:rsidRPr="00655EB0">
              <w:rPr>
                <w:rStyle w:val="Hyperlink"/>
              </w:rPr>
              <w:t>End avoidable blindness in Aboriginal and Torres Strait Islander communities</w:t>
            </w:r>
            <w:r w:rsidR="00936F38">
              <w:rPr>
                <w:webHidden/>
              </w:rPr>
              <w:tab/>
            </w:r>
            <w:r w:rsidR="00936F38">
              <w:rPr>
                <w:webHidden/>
              </w:rPr>
              <w:fldChar w:fldCharType="begin"/>
            </w:r>
            <w:r w:rsidR="00936F38">
              <w:rPr>
                <w:webHidden/>
              </w:rPr>
              <w:instrText xml:space="preserve"> PAGEREF _Toc90376267 \h </w:instrText>
            </w:r>
            <w:r w:rsidR="00936F38">
              <w:rPr>
                <w:webHidden/>
              </w:rPr>
            </w:r>
            <w:r w:rsidR="00936F38">
              <w:rPr>
                <w:webHidden/>
              </w:rPr>
              <w:fldChar w:fldCharType="separate"/>
            </w:r>
            <w:r w:rsidR="00936F38">
              <w:rPr>
                <w:webHidden/>
              </w:rPr>
              <w:t>3</w:t>
            </w:r>
            <w:r w:rsidR="00936F38">
              <w:rPr>
                <w:webHidden/>
              </w:rPr>
              <w:fldChar w:fldCharType="end"/>
            </w:r>
          </w:hyperlink>
        </w:p>
        <w:p w14:paraId="3F1E6983" w14:textId="485C6C81" w:rsidR="00936F38" w:rsidRDefault="00844FFC">
          <w:pPr>
            <w:pStyle w:val="TOC1"/>
            <w:rPr>
              <w:rFonts w:eastAsiaTheme="minorEastAsia"/>
              <w:b w:val="0"/>
              <w:sz w:val="22"/>
              <w:szCs w:val="28"/>
              <w:lang w:eastAsia="zh-CN" w:bidi="th-TH"/>
            </w:rPr>
          </w:pPr>
          <w:hyperlink w:anchor="_Toc90376268" w:history="1">
            <w:r w:rsidR="00936F38" w:rsidRPr="00655EB0">
              <w:rPr>
                <w:rStyle w:val="Hyperlink"/>
                <w:rFonts w:eastAsia="Arial"/>
              </w:rPr>
              <w:t>Tackling the blindness crisis in PNG</w:t>
            </w:r>
            <w:r w:rsidR="00936F38">
              <w:rPr>
                <w:webHidden/>
              </w:rPr>
              <w:tab/>
            </w:r>
            <w:r w:rsidR="00936F38">
              <w:rPr>
                <w:webHidden/>
              </w:rPr>
              <w:fldChar w:fldCharType="begin"/>
            </w:r>
            <w:r w:rsidR="00936F38">
              <w:rPr>
                <w:webHidden/>
              </w:rPr>
              <w:instrText xml:space="preserve"> PAGEREF _Toc90376268 \h </w:instrText>
            </w:r>
            <w:r w:rsidR="00936F38">
              <w:rPr>
                <w:webHidden/>
              </w:rPr>
            </w:r>
            <w:r w:rsidR="00936F38">
              <w:rPr>
                <w:webHidden/>
              </w:rPr>
              <w:fldChar w:fldCharType="separate"/>
            </w:r>
            <w:r w:rsidR="00936F38">
              <w:rPr>
                <w:webHidden/>
              </w:rPr>
              <w:t>4</w:t>
            </w:r>
            <w:r w:rsidR="00936F38">
              <w:rPr>
                <w:webHidden/>
              </w:rPr>
              <w:fldChar w:fldCharType="end"/>
            </w:r>
          </w:hyperlink>
        </w:p>
        <w:p w14:paraId="0CC28C5A" w14:textId="48FB9E92" w:rsidR="00936F38" w:rsidRDefault="00844FFC">
          <w:pPr>
            <w:pStyle w:val="TOC1"/>
            <w:rPr>
              <w:rFonts w:eastAsiaTheme="minorEastAsia"/>
              <w:b w:val="0"/>
              <w:sz w:val="22"/>
              <w:szCs w:val="28"/>
              <w:lang w:eastAsia="zh-CN" w:bidi="th-TH"/>
            </w:rPr>
          </w:pPr>
          <w:hyperlink w:anchor="_Toc90376269" w:history="1">
            <w:r w:rsidR="00936F38" w:rsidRPr="00655EB0">
              <w:rPr>
                <w:rStyle w:val="Hyperlink"/>
              </w:rPr>
              <w:t>Increase the disability inclusion allocation in overseas development assistance</w:t>
            </w:r>
            <w:r w:rsidR="00936F38">
              <w:rPr>
                <w:webHidden/>
              </w:rPr>
              <w:tab/>
            </w:r>
            <w:r w:rsidR="00936F38">
              <w:rPr>
                <w:webHidden/>
              </w:rPr>
              <w:fldChar w:fldCharType="begin"/>
            </w:r>
            <w:r w:rsidR="00936F38">
              <w:rPr>
                <w:webHidden/>
              </w:rPr>
              <w:instrText xml:space="preserve"> PAGEREF _Toc90376269 \h </w:instrText>
            </w:r>
            <w:r w:rsidR="00936F38">
              <w:rPr>
                <w:webHidden/>
              </w:rPr>
            </w:r>
            <w:r w:rsidR="00936F38">
              <w:rPr>
                <w:webHidden/>
              </w:rPr>
              <w:fldChar w:fldCharType="separate"/>
            </w:r>
            <w:r w:rsidR="00936F38">
              <w:rPr>
                <w:webHidden/>
              </w:rPr>
              <w:t>5</w:t>
            </w:r>
            <w:r w:rsidR="00936F38">
              <w:rPr>
                <w:webHidden/>
              </w:rPr>
              <w:fldChar w:fldCharType="end"/>
            </w:r>
          </w:hyperlink>
        </w:p>
        <w:p w14:paraId="1E8F104B" w14:textId="50A62B45" w:rsidR="00936F38" w:rsidRDefault="00844FFC">
          <w:pPr>
            <w:pStyle w:val="TOC1"/>
            <w:rPr>
              <w:rFonts w:eastAsiaTheme="minorEastAsia"/>
              <w:b w:val="0"/>
              <w:sz w:val="22"/>
              <w:szCs w:val="28"/>
              <w:lang w:eastAsia="zh-CN" w:bidi="th-TH"/>
            </w:rPr>
          </w:pPr>
          <w:hyperlink w:anchor="_Toc90376270" w:history="1">
            <w:r w:rsidR="00936F38" w:rsidRPr="00655EB0">
              <w:rPr>
                <w:rStyle w:val="Hyperlink"/>
              </w:rPr>
              <w:t>Eyes on Call: Informed support for people who are blind or have low vision</w:t>
            </w:r>
            <w:r w:rsidR="00936F38">
              <w:rPr>
                <w:webHidden/>
              </w:rPr>
              <w:tab/>
            </w:r>
            <w:r w:rsidR="00936F38">
              <w:rPr>
                <w:webHidden/>
              </w:rPr>
              <w:fldChar w:fldCharType="begin"/>
            </w:r>
            <w:r w:rsidR="00936F38">
              <w:rPr>
                <w:webHidden/>
              </w:rPr>
              <w:instrText xml:space="preserve"> PAGEREF _Toc90376270 \h </w:instrText>
            </w:r>
            <w:r w:rsidR="00936F38">
              <w:rPr>
                <w:webHidden/>
              </w:rPr>
            </w:r>
            <w:r w:rsidR="00936F38">
              <w:rPr>
                <w:webHidden/>
              </w:rPr>
              <w:fldChar w:fldCharType="separate"/>
            </w:r>
            <w:r w:rsidR="00936F38">
              <w:rPr>
                <w:webHidden/>
              </w:rPr>
              <w:t>6</w:t>
            </w:r>
            <w:r w:rsidR="00936F38">
              <w:rPr>
                <w:webHidden/>
              </w:rPr>
              <w:fldChar w:fldCharType="end"/>
            </w:r>
          </w:hyperlink>
        </w:p>
        <w:p w14:paraId="7170DE8A" w14:textId="57C427E5" w:rsidR="00936F38" w:rsidRDefault="00844FFC">
          <w:pPr>
            <w:pStyle w:val="TOC1"/>
            <w:rPr>
              <w:rFonts w:eastAsiaTheme="minorEastAsia"/>
              <w:b w:val="0"/>
              <w:sz w:val="22"/>
              <w:szCs w:val="28"/>
              <w:lang w:eastAsia="zh-CN" w:bidi="th-TH"/>
            </w:rPr>
          </w:pPr>
          <w:hyperlink w:anchor="_Toc90376271" w:history="1">
            <w:r w:rsidR="00936F38" w:rsidRPr="00655EB0">
              <w:rPr>
                <w:rStyle w:val="Hyperlink"/>
              </w:rPr>
              <w:t>Assistive Technology for older Australians with vision loss</w:t>
            </w:r>
            <w:r w:rsidR="00936F38">
              <w:rPr>
                <w:webHidden/>
              </w:rPr>
              <w:tab/>
            </w:r>
            <w:r w:rsidR="00936F38">
              <w:rPr>
                <w:webHidden/>
              </w:rPr>
              <w:fldChar w:fldCharType="begin"/>
            </w:r>
            <w:r w:rsidR="00936F38">
              <w:rPr>
                <w:webHidden/>
              </w:rPr>
              <w:instrText xml:space="preserve"> PAGEREF _Toc90376271 \h </w:instrText>
            </w:r>
            <w:r w:rsidR="00936F38">
              <w:rPr>
                <w:webHidden/>
              </w:rPr>
            </w:r>
            <w:r w:rsidR="00936F38">
              <w:rPr>
                <w:webHidden/>
              </w:rPr>
              <w:fldChar w:fldCharType="separate"/>
            </w:r>
            <w:r w:rsidR="00936F38">
              <w:rPr>
                <w:webHidden/>
              </w:rPr>
              <w:t>7</w:t>
            </w:r>
            <w:r w:rsidR="00936F38">
              <w:rPr>
                <w:webHidden/>
              </w:rPr>
              <w:fldChar w:fldCharType="end"/>
            </w:r>
          </w:hyperlink>
        </w:p>
        <w:p w14:paraId="12165769" w14:textId="560876F1" w:rsidR="00936F38" w:rsidRDefault="00844FFC">
          <w:pPr>
            <w:pStyle w:val="TOC1"/>
            <w:rPr>
              <w:rFonts w:eastAsiaTheme="minorEastAsia"/>
              <w:b w:val="0"/>
              <w:sz w:val="22"/>
              <w:szCs w:val="28"/>
              <w:lang w:eastAsia="zh-CN" w:bidi="th-TH"/>
            </w:rPr>
          </w:pPr>
          <w:hyperlink w:anchor="_Toc90376272" w:history="1">
            <w:r w:rsidR="00936F38" w:rsidRPr="00655EB0">
              <w:rPr>
                <w:rStyle w:val="Hyperlink"/>
              </w:rPr>
              <w:t>Streamlined Access for Children with Vision Loss</w:t>
            </w:r>
            <w:r w:rsidR="00936F38">
              <w:rPr>
                <w:webHidden/>
              </w:rPr>
              <w:tab/>
            </w:r>
            <w:r w:rsidR="00936F38">
              <w:rPr>
                <w:webHidden/>
              </w:rPr>
              <w:fldChar w:fldCharType="begin"/>
            </w:r>
            <w:r w:rsidR="00936F38">
              <w:rPr>
                <w:webHidden/>
              </w:rPr>
              <w:instrText xml:space="preserve"> PAGEREF _Toc90376272 \h </w:instrText>
            </w:r>
            <w:r w:rsidR="00936F38">
              <w:rPr>
                <w:webHidden/>
              </w:rPr>
            </w:r>
            <w:r w:rsidR="00936F38">
              <w:rPr>
                <w:webHidden/>
              </w:rPr>
              <w:fldChar w:fldCharType="separate"/>
            </w:r>
            <w:r w:rsidR="00936F38">
              <w:rPr>
                <w:webHidden/>
              </w:rPr>
              <w:t>8</w:t>
            </w:r>
            <w:r w:rsidR="00936F38">
              <w:rPr>
                <w:webHidden/>
              </w:rPr>
              <w:fldChar w:fldCharType="end"/>
            </w:r>
          </w:hyperlink>
        </w:p>
        <w:p w14:paraId="7E24139C" w14:textId="2048CA4E" w:rsidR="00936F38" w:rsidRDefault="00844FFC">
          <w:pPr>
            <w:pStyle w:val="TOC1"/>
            <w:rPr>
              <w:rFonts w:eastAsiaTheme="minorEastAsia"/>
              <w:b w:val="0"/>
              <w:sz w:val="22"/>
              <w:szCs w:val="28"/>
              <w:lang w:eastAsia="zh-CN" w:bidi="th-TH"/>
            </w:rPr>
          </w:pPr>
          <w:hyperlink w:anchor="_Toc90376273" w:history="1">
            <w:r w:rsidR="00936F38" w:rsidRPr="00655EB0">
              <w:rPr>
                <w:rStyle w:val="Hyperlink"/>
              </w:rPr>
              <w:t>Securing Audio Description on Australian TV</w:t>
            </w:r>
            <w:r w:rsidR="00936F38">
              <w:rPr>
                <w:webHidden/>
              </w:rPr>
              <w:tab/>
            </w:r>
            <w:r w:rsidR="00936F38">
              <w:rPr>
                <w:webHidden/>
              </w:rPr>
              <w:fldChar w:fldCharType="begin"/>
            </w:r>
            <w:r w:rsidR="00936F38">
              <w:rPr>
                <w:webHidden/>
              </w:rPr>
              <w:instrText xml:space="preserve"> PAGEREF _Toc90376273 \h </w:instrText>
            </w:r>
            <w:r w:rsidR="00936F38">
              <w:rPr>
                <w:webHidden/>
              </w:rPr>
            </w:r>
            <w:r w:rsidR="00936F38">
              <w:rPr>
                <w:webHidden/>
              </w:rPr>
              <w:fldChar w:fldCharType="separate"/>
            </w:r>
            <w:r w:rsidR="00936F38">
              <w:rPr>
                <w:webHidden/>
              </w:rPr>
              <w:t>9</w:t>
            </w:r>
            <w:r w:rsidR="00936F38">
              <w:rPr>
                <w:webHidden/>
              </w:rPr>
              <w:fldChar w:fldCharType="end"/>
            </w:r>
          </w:hyperlink>
        </w:p>
        <w:p w14:paraId="491137EA" w14:textId="536DD451" w:rsidR="00936F38" w:rsidRDefault="00844FFC">
          <w:pPr>
            <w:pStyle w:val="TOC1"/>
            <w:rPr>
              <w:rFonts w:eastAsiaTheme="minorEastAsia"/>
              <w:b w:val="0"/>
              <w:sz w:val="22"/>
              <w:szCs w:val="28"/>
              <w:lang w:eastAsia="zh-CN" w:bidi="th-TH"/>
            </w:rPr>
          </w:pPr>
          <w:hyperlink w:anchor="_Toc90376274" w:history="1">
            <w:r w:rsidR="00936F38" w:rsidRPr="00655EB0">
              <w:rPr>
                <w:rStyle w:val="Hyperlink"/>
                <w:rFonts w:ascii="Arial" w:hAnsi="Arial"/>
              </w:rPr>
              <w:t>Investment in Australian eye and vision research</w:t>
            </w:r>
            <w:r w:rsidR="00936F38">
              <w:rPr>
                <w:webHidden/>
              </w:rPr>
              <w:tab/>
            </w:r>
            <w:r w:rsidR="00936F38">
              <w:rPr>
                <w:webHidden/>
              </w:rPr>
              <w:fldChar w:fldCharType="begin"/>
            </w:r>
            <w:r w:rsidR="00936F38">
              <w:rPr>
                <w:webHidden/>
              </w:rPr>
              <w:instrText xml:space="preserve"> PAGEREF _Toc90376274 \h </w:instrText>
            </w:r>
            <w:r w:rsidR="00936F38">
              <w:rPr>
                <w:webHidden/>
              </w:rPr>
            </w:r>
            <w:r w:rsidR="00936F38">
              <w:rPr>
                <w:webHidden/>
              </w:rPr>
              <w:fldChar w:fldCharType="separate"/>
            </w:r>
            <w:r w:rsidR="00936F38">
              <w:rPr>
                <w:webHidden/>
              </w:rPr>
              <w:t>10</w:t>
            </w:r>
            <w:r w:rsidR="00936F38">
              <w:rPr>
                <w:webHidden/>
              </w:rPr>
              <w:fldChar w:fldCharType="end"/>
            </w:r>
          </w:hyperlink>
        </w:p>
        <w:p w14:paraId="349AE9BE" w14:textId="70618B1A" w:rsidR="00936F38" w:rsidRDefault="00844FFC">
          <w:pPr>
            <w:pStyle w:val="TOC2"/>
            <w:rPr>
              <w:rFonts w:eastAsiaTheme="minorEastAsia"/>
              <w:sz w:val="22"/>
              <w:szCs w:val="28"/>
              <w:lang w:eastAsia="zh-CN" w:bidi="th-TH"/>
            </w:rPr>
          </w:pPr>
          <w:hyperlink w:anchor="_Toc90376275" w:history="1">
            <w:r w:rsidR="00936F38" w:rsidRPr="00655EB0">
              <w:rPr>
                <w:rStyle w:val="Hyperlink"/>
              </w:rPr>
              <w:t>Ten-point plan to enhance Australian vision research</w:t>
            </w:r>
            <w:r w:rsidR="00936F38">
              <w:rPr>
                <w:webHidden/>
              </w:rPr>
              <w:tab/>
            </w:r>
            <w:r w:rsidR="00936F38">
              <w:rPr>
                <w:webHidden/>
              </w:rPr>
              <w:fldChar w:fldCharType="begin"/>
            </w:r>
            <w:r w:rsidR="00936F38">
              <w:rPr>
                <w:webHidden/>
              </w:rPr>
              <w:instrText xml:space="preserve"> PAGEREF _Toc90376275 \h </w:instrText>
            </w:r>
            <w:r w:rsidR="00936F38">
              <w:rPr>
                <w:webHidden/>
              </w:rPr>
            </w:r>
            <w:r w:rsidR="00936F38">
              <w:rPr>
                <w:webHidden/>
              </w:rPr>
              <w:fldChar w:fldCharType="separate"/>
            </w:r>
            <w:r w:rsidR="00936F38">
              <w:rPr>
                <w:webHidden/>
              </w:rPr>
              <w:t>11</w:t>
            </w:r>
            <w:r w:rsidR="00936F38">
              <w:rPr>
                <w:webHidden/>
              </w:rPr>
              <w:fldChar w:fldCharType="end"/>
            </w:r>
          </w:hyperlink>
        </w:p>
        <w:p w14:paraId="360600C8" w14:textId="61E7BD4D" w:rsidR="00936F38" w:rsidRDefault="00844FFC">
          <w:pPr>
            <w:pStyle w:val="TOC1"/>
            <w:rPr>
              <w:rFonts w:eastAsiaTheme="minorEastAsia"/>
              <w:b w:val="0"/>
              <w:sz w:val="22"/>
              <w:szCs w:val="28"/>
              <w:lang w:eastAsia="zh-CN" w:bidi="th-TH"/>
            </w:rPr>
          </w:pPr>
          <w:hyperlink w:anchor="_Toc90376276" w:history="1">
            <w:r w:rsidR="00936F38" w:rsidRPr="00655EB0">
              <w:rPr>
                <w:rStyle w:val="Hyperlink"/>
              </w:rPr>
              <w:t>Increase public access to sight saving eye care treatment</w:t>
            </w:r>
            <w:r w:rsidR="00936F38">
              <w:rPr>
                <w:webHidden/>
              </w:rPr>
              <w:tab/>
            </w:r>
            <w:r w:rsidR="00936F38">
              <w:rPr>
                <w:webHidden/>
              </w:rPr>
              <w:fldChar w:fldCharType="begin"/>
            </w:r>
            <w:r w:rsidR="00936F38">
              <w:rPr>
                <w:webHidden/>
              </w:rPr>
              <w:instrText xml:space="preserve"> PAGEREF _Toc90376276 \h </w:instrText>
            </w:r>
            <w:r w:rsidR="00936F38">
              <w:rPr>
                <w:webHidden/>
              </w:rPr>
            </w:r>
            <w:r w:rsidR="00936F38">
              <w:rPr>
                <w:webHidden/>
              </w:rPr>
              <w:fldChar w:fldCharType="separate"/>
            </w:r>
            <w:r w:rsidR="00936F38">
              <w:rPr>
                <w:webHidden/>
              </w:rPr>
              <w:t>12</w:t>
            </w:r>
            <w:r w:rsidR="00936F38">
              <w:rPr>
                <w:webHidden/>
              </w:rPr>
              <w:fldChar w:fldCharType="end"/>
            </w:r>
          </w:hyperlink>
        </w:p>
        <w:p w14:paraId="1F58BB92" w14:textId="7CE67500" w:rsidR="00936F38" w:rsidRDefault="00844FFC">
          <w:pPr>
            <w:pStyle w:val="TOC1"/>
            <w:rPr>
              <w:rFonts w:eastAsiaTheme="minorEastAsia"/>
              <w:b w:val="0"/>
              <w:sz w:val="22"/>
              <w:szCs w:val="28"/>
              <w:lang w:eastAsia="zh-CN" w:bidi="th-TH"/>
            </w:rPr>
          </w:pPr>
          <w:hyperlink w:anchor="_Toc90376277" w:history="1">
            <w:r w:rsidR="00936F38" w:rsidRPr="00655EB0">
              <w:rPr>
                <w:rStyle w:val="Hyperlink"/>
              </w:rPr>
              <w:t>A National Framework for children's vision screening</w:t>
            </w:r>
            <w:r w:rsidR="00936F38">
              <w:rPr>
                <w:webHidden/>
              </w:rPr>
              <w:tab/>
            </w:r>
            <w:r w:rsidR="00936F38">
              <w:rPr>
                <w:webHidden/>
              </w:rPr>
              <w:fldChar w:fldCharType="begin"/>
            </w:r>
            <w:r w:rsidR="00936F38">
              <w:rPr>
                <w:webHidden/>
              </w:rPr>
              <w:instrText xml:space="preserve"> PAGEREF _Toc90376277 \h </w:instrText>
            </w:r>
            <w:r w:rsidR="00936F38">
              <w:rPr>
                <w:webHidden/>
              </w:rPr>
            </w:r>
            <w:r w:rsidR="00936F38">
              <w:rPr>
                <w:webHidden/>
              </w:rPr>
              <w:fldChar w:fldCharType="separate"/>
            </w:r>
            <w:r w:rsidR="00936F38">
              <w:rPr>
                <w:webHidden/>
              </w:rPr>
              <w:t>13</w:t>
            </w:r>
            <w:r w:rsidR="00936F38">
              <w:rPr>
                <w:webHidden/>
              </w:rPr>
              <w:fldChar w:fldCharType="end"/>
            </w:r>
          </w:hyperlink>
        </w:p>
        <w:p w14:paraId="2A208B62" w14:textId="58DCBA24" w:rsidR="00936F38" w:rsidRDefault="00844FFC">
          <w:pPr>
            <w:pStyle w:val="TOC1"/>
            <w:rPr>
              <w:rFonts w:eastAsiaTheme="minorEastAsia"/>
              <w:b w:val="0"/>
              <w:sz w:val="22"/>
              <w:szCs w:val="28"/>
              <w:lang w:eastAsia="zh-CN" w:bidi="th-TH"/>
            </w:rPr>
          </w:pPr>
          <w:hyperlink w:anchor="_Toc90376278" w:history="1">
            <w:r w:rsidR="00936F38" w:rsidRPr="00655EB0">
              <w:rPr>
                <w:rStyle w:val="Hyperlink"/>
              </w:rPr>
              <w:t>Education for students who are blind or have low vision</w:t>
            </w:r>
            <w:r w:rsidR="00936F38">
              <w:rPr>
                <w:webHidden/>
              </w:rPr>
              <w:tab/>
            </w:r>
            <w:r w:rsidR="00936F38">
              <w:rPr>
                <w:webHidden/>
              </w:rPr>
              <w:fldChar w:fldCharType="begin"/>
            </w:r>
            <w:r w:rsidR="00936F38">
              <w:rPr>
                <w:webHidden/>
              </w:rPr>
              <w:instrText xml:space="preserve"> PAGEREF _Toc90376278 \h </w:instrText>
            </w:r>
            <w:r w:rsidR="00936F38">
              <w:rPr>
                <w:webHidden/>
              </w:rPr>
            </w:r>
            <w:r w:rsidR="00936F38">
              <w:rPr>
                <w:webHidden/>
              </w:rPr>
              <w:fldChar w:fldCharType="separate"/>
            </w:r>
            <w:r w:rsidR="00936F38">
              <w:rPr>
                <w:webHidden/>
              </w:rPr>
              <w:t>15</w:t>
            </w:r>
            <w:r w:rsidR="00936F38">
              <w:rPr>
                <w:webHidden/>
              </w:rPr>
              <w:fldChar w:fldCharType="end"/>
            </w:r>
          </w:hyperlink>
        </w:p>
        <w:p w14:paraId="3D90030C" w14:textId="23171E09" w:rsidR="00936F38" w:rsidRDefault="00844FFC">
          <w:pPr>
            <w:pStyle w:val="TOC1"/>
            <w:rPr>
              <w:rFonts w:eastAsiaTheme="minorEastAsia"/>
              <w:b w:val="0"/>
              <w:sz w:val="22"/>
              <w:szCs w:val="28"/>
              <w:lang w:eastAsia="zh-CN" w:bidi="th-TH"/>
            </w:rPr>
          </w:pPr>
          <w:hyperlink w:anchor="_Toc90376279" w:history="1">
            <w:r w:rsidR="00936F38" w:rsidRPr="00655EB0">
              <w:rPr>
                <w:rStyle w:val="Hyperlink"/>
              </w:rPr>
              <w:t>Members</w:t>
            </w:r>
            <w:r w:rsidR="00936F38">
              <w:rPr>
                <w:webHidden/>
              </w:rPr>
              <w:tab/>
            </w:r>
            <w:r w:rsidR="00936F38">
              <w:rPr>
                <w:webHidden/>
              </w:rPr>
              <w:fldChar w:fldCharType="begin"/>
            </w:r>
            <w:r w:rsidR="00936F38">
              <w:rPr>
                <w:webHidden/>
              </w:rPr>
              <w:instrText xml:space="preserve"> PAGEREF _Toc90376279 \h </w:instrText>
            </w:r>
            <w:r w:rsidR="00936F38">
              <w:rPr>
                <w:webHidden/>
              </w:rPr>
            </w:r>
            <w:r w:rsidR="00936F38">
              <w:rPr>
                <w:webHidden/>
              </w:rPr>
              <w:fldChar w:fldCharType="separate"/>
            </w:r>
            <w:r w:rsidR="00936F38">
              <w:rPr>
                <w:webHidden/>
              </w:rPr>
              <w:t>16</w:t>
            </w:r>
            <w:r w:rsidR="00936F38">
              <w:rPr>
                <w:webHidden/>
              </w:rPr>
              <w:fldChar w:fldCharType="end"/>
            </w:r>
          </w:hyperlink>
        </w:p>
        <w:p w14:paraId="58D1B208" w14:textId="2521F964" w:rsidR="00936F38" w:rsidRDefault="00844FFC">
          <w:pPr>
            <w:pStyle w:val="TOC2"/>
            <w:rPr>
              <w:rFonts w:eastAsiaTheme="minorEastAsia"/>
              <w:sz w:val="22"/>
              <w:szCs w:val="28"/>
              <w:lang w:eastAsia="zh-CN" w:bidi="th-TH"/>
            </w:rPr>
          </w:pPr>
          <w:hyperlink w:anchor="_Toc90376280" w:history="1">
            <w:r w:rsidR="00936F38" w:rsidRPr="00655EB0">
              <w:rPr>
                <w:rStyle w:val="Hyperlink"/>
              </w:rPr>
              <w:t>Principal member</w:t>
            </w:r>
            <w:r w:rsidR="00936F38">
              <w:rPr>
                <w:webHidden/>
              </w:rPr>
              <w:tab/>
            </w:r>
            <w:r w:rsidR="00936F38">
              <w:rPr>
                <w:webHidden/>
              </w:rPr>
              <w:fldChar w:fldCharType="begin"/>
            </w:r>
            <w:r w:rsidR="00936F38">
              <w:rPr>
                <w:webHidden/>
              </w:rPr>
              <w:instrText xml:space="preserve"> PAGEREF _Toc90376280 \h </w:instrText>
            </w:r>
            <w:r w:rsidR="00936F38">
              <w:rPr>
                <w:webHidden/>
              </w:rPr>
            </w:r>
            <w:r w:rsidR="00936F38">
              <w:rPr>
                <w:webHidden/>
              </w:rPr>
              <w:fldChar w:fldCharType="separate"/>
            </w:r>
            <w:r w:rsidR="00936F38">
              <w:rPr>
                <w:webHidden/>
              </w:rPr>
              <w:t>16</w:t>
            </w:r>
            <w:r w:rsidR="00936F38">
              <w:rPr>
                <w:webHidden/>
              </w:rPr>
              <w:fldChar w:fldCharType="end"/>
            </w:r>
          </w:hyperlink>
        </w:p>
        <w:p w14:paraId="7FA7D277" w14:textId="4E3DC2EA" w:rsidR="00936F38" w:rsidRDefault="00844FFC">
          <w:pPr>
            <w:pStyle w:val="TOC2"/>
            <w:rPr>
              <w:rFonts w:eastAsiaTheme="minorEastAsia"/>
              <w:sz w:val="22"/>
              <w:szCs w:val="28"/>
              <w:lang w:eastAsia="zh-CN" w:bidi="th-TH"/>
            </w:rPr>
          </w:pPr>
          <w:hyperlink w:anchor="_Toc90376281" w:history="1">
            <w:r w:rsidR="00936F38" w:rsidRPr="00655EB0">
              <w:rPr>
                <w:rStyle w:val="Hyperlink"/>
              </w:rPr>
              <w:t>Corporate member</w:t>
            </w:r>
            <w:r w:rsidR="00936F38">
              <w:rPr>
                <w:webHidden/>
              </w:rPr>
              <w:tab/>
            </w:r>
            <w:r w:rsidR="00936F38">
              <w:rPr>
                <w:webHidden/>
              </w:rPr>
              <w:fldChar w:fldCharType="begin"/>
            </w:r>
            <w:r w:rsidR="00936F38">
              <w:rPr>
                <w:webHidden/>
              </w:rPr>
              <w:instrText xml:space="preserve"> PAGEREF _Toc90376281 \h </w:instrText>
            </w:r>
            <w:r w:rsidR="00936F38">
              <w:rPr>
                <w:webHidden/>
              </w:rPr>
            </w:r>
            <w:r w:rsidR="00936F38">
              <w:rPr>
                <w:webHidden/>
              </w:rPr>
              <w:fldChar w:fldCharType="separate"/>
            </w:r>
            <w:r w:rsidR="00936F38">
              <w:rPr>
                <w:webHidden/>
              </w:rPr>
              <w:t>16</w:t>
            </w:r>
            <w:r w:rsidR="00936F38">
              <w:rPr>
                <w:webHidden/>
              </w:rPr>
              <w:fldChar w:fldCharType="end"/>
            </w:r>
          </w:hyperlink>
        </w:p>
        <w:p w14:paraId="64421F35" w14:textId="6F683C63" w:rsidR="00936F38" w:rsidRDefault="00844FFC">
          <w:pPr>
            <w:pStyle w:val="TOC2"/>
            <w:rPr>
              <w:rFonts w:eastAsiaTheme="minorEastAsia"/>
              <w:sz w:val="22"/>
              <w:szCs w:val="28"/>
              <w:lang w:eastAsia="zh-CN" w:bidi="th-TH"/>
            </w:rPr>
          </w:pPr>
          <w:hyperlink w:anchor="_Toc90376282" w:history="1">
            <w:r w:rsidR="00936F38" w:rsidRPr="00655EB0">
              <w:rPr>
                <w:rStyle w:val="Hyperlink"/>
              </w:rPr>
              <w:t>Silver members</w:t>
            </w:r>
            <w:r w:rsidR="00936F38">
              <w:rPr>
                <w:webHidden/>
              </w:rPr>
              <w:tab/>
            </w:r>
            <w:r w:rsidR="00936F38">
              <w:rPr>
                <w:webHidden/>
              </w:rPr>
              <w:fldChar w:fldCharType="begin"/>
            </w:r>
            <w:r w:rsidR="00936F38">
              <w:rPr>
                <w:webHidden/>
              </w:rPr>
              <w:instrText xml:space="preserve"> PAGEREF _Toc90376282 \h </w:instrText>
            </w:r>
            <w:r w:rsidR="00936F38">
              <w:rPr>
                <w:webHidden/>
              </w:rPr>
            </w:r>
            <w:r w:rsidR="00936F38">
              <w:rPr>
                <w:webHidden/>
              </w:rPr>
              <w:fldChar w:fldCharType="separate"/>
            </w:r>
            <w:r w:rsidR="00936F38">
              <w:rPr>
                <w:webHidden/>
              </w:rPr>
              <w:t>16</w:t>
            </w:r>
            <w:r w:rsidR="00936F38">
              <w:rPr>
                <w:webHidden/>
              </w:rPr>
              <w:fldChar w:fldCharType="end"/>
            </w:r>
          </w:hyperlink>
        </w:p>
        <w:p w14:paraId="57B41762" w14:textId="3ACECDE7" w:rsidR="00936F38" w:rsidRDefault="00844FFC">
          <w:pPr>
            <w:pStyle w:val="TOC2"/>
            <w:rPr>
              <w:rFonts w:eastAsiaTheme="minorEastAsia"/>
              <w:sz w:val="22"/>
              <w:szCs w:val="28"/>
              <w:lang w:eastAsia="zh-CN" w:bidi="th-TH"/>
            </w:rPr>
          </w:pPr>
          <w:hyperlink w:anchor="_Toc90376283" w:history="1">
            <w:r w:rsidR="00936F38" w:rsidRPr="00655EB0">
              <w:rPr>
                <w:rStyle w:val="Hyperlink"/>
              </w:rPr>
              <w:t>Bronze members</w:t>
            </w:r>
            <w:r w:rsidR="00936F38">
              <w:rPr>
                <w:webHidden/>
              </w:rPr>
              <w:tab/>
            </w:r>
            <w:r w:rsidR="00936F38">
              <w:rPr>
                <w:webHidden/>
              </w:rPr>
              <w:fldChar w:fldCharType="begin"/>
            </w:r>
            <w:r w:rsidR="00936F38">
              <w:rPr>
                <w:webHidden/>
              </w:rPr>
              <w:instrText xml:space="preserve"> PAGEREF _Toc90376283 \h </w:instrText>
            </w:r>
            <w:r w:rsidR="00936F38">
              <w:rPr>
                <w:webHidden/>
              </w:rPr>
            </w:r>
            <w:r w:rsidR="00936F38">
              <w:rPr>
                <w:webHidden/>
              </w:rPr>
              <w:fldChar w:fldCharType="separate"/>
            </w:r>
            <w:r w:rsidR="00936F38">
              <w:rPr>
                <w:webHidden/>
              </w:rPr>
              <w:t>16</w:t>
            </w:r>
            <w:r w:rsidR="00936F38">
              <w:rPr>
                <w:webHidden/>
              </w:rPr>
              <w:fldChar w:fldCharType="end"/>
            </w:r>
          </w:hyperlink>
        </w:p>
        <w:p w14:paraId="32F1F05B" w14:textId="600AC5F2" w:rsidR="00936F38" w:rsidRDefault="00844FFC">
          <w:pPr>
            <w:pStyle w:val="TOC2"/>
            <w:rPr>
              <w:rFonts w:eastAsiaTheme="minorEastAsia"/>
              <w:sz w:val="22"/>
              <w:szCs w:val="28"/>
              <w:lang w:eastAsia="zh-CN" w:bidi="th-TH"/>
            </w:rPr>
          </w:pPr>
          <w:hyperlink w:anchor="_Toc90376284" w:history="1">
            <w:r w:rsidR="00936F38" w:rsidRPr="00655EB0">
              <w:rPr>
                <w:rStyle w:val="Hyperlink"/>
              </w:rPr>
              <w:t>Major supporting members</w:t>
            </w:r>
            <w:r w:rsidR="00936F38">
              <w:rPr>
                <w:webHidden/>
              </w:rPr>
              <w:tab/>
            </w:r>
            <w:r w:rsidR="00936F38">
              <w:rPr>
                <w:webHidden/>
              </w:rPr>
              <w:fldChar w:fldCharType="begin"/>
            </w:r>
            <w:r w:rsidR="00936F38">
              <w:rPr>
                <w:webHidden/>
              </w:rPr>
              <w:instrText xml:space="preserve"> PAGEREF _Toc90376284 \h </w:instrText>
            </w:r>
            <w:r w:rsidR="00936F38">
              <w:rPr>
                <w:webHidden/>
              </w:rPr>
            </w:r>
            <w:r w:rsidR="00936F38">
              <w:rPr>
                <w:webHidden/>
              </w:rPr>
              <w:fldChar w:fldCharType="separate"/>
            </w:r>
            <w:r w:rsidR="00936F38">
              <w:rPr>
                <w:webHidden/>
              </w:rPr>
              <w:t>16</w:t>
            </w:r>
            <w:r w:rsidR="00936F38">
              <w:rPr>
                <w:webHidden/>
              </w:rPr>
              <w:fldChar w:fldCharType="end"/>
            </w:r>
          </w:hyperlink>
        </w:p>
        <w:p w14:paraId="069EA02A" w14:textId="36E55560" w:rsidR="00936F38" w:rsidRDefault="00844FFC">
          <w:pPr>
            <w:pStyle w:val="TOC2"/>
            <w:rPr>
              <w:rFonts w:eastAsiaTheme="minorEastAsia"/>
              <w:sz w:val="22"/>
              <w:szCs w:val="28"/>
              <w:lang w:eastAsia="zh-CN" w:bidi="th-TH"/>
            </w:rPr>
          </w:pPr>
          <w:hyperlink w:anchor="_Toc90376285" w:history="1">
            <w:r w:rsidR="00936F38" w:rsidRPr="00655EB0">
              <w:rPr>
                <w:rStyle w:val="Hyperlink"/>
              </w:rPr>
              <w:t>Supporting members</w:t>
            </w:r>
            <w:r w:rsidR="00936F38">
              <w:rPr>
                <w:webHidden/>
              </w:rPr>
              <w:tab/>
            </w:r>
            <w:r w:rsidR="00936F38">
              <w:rPr>
                <w:webHidden/>
              </w:rPr>
              <w:fldChar w:fldCharType="begin"/>
            </w:r>
            <w:r w:rsidR="00936F38">
              <w:rPr>
                <w:webHidden/>
              </w:rPr>
              <w:instrText xml:space="preserve"> PAGEREF _Toc90376285 \h </w:instrText>
            </w:r>
            <w:r w:rsidR="00936F38">
              <w:rPr>
                <w:webHidden/>
              </w:rPr>
            </w:r>
            <w:r w:rsidR="00936F38">
              <w:rPr>
                <w:webHidden/>
              </w:rPr>
              <w:fldChar w:fldCharType="separate"/>
            </w:r>
            <w:r w:rsidR="00936F38">
              <w:rPr>
                <w:webHidden/>
              </w:rPr>
              <w:t>16</w:t>
            </w:r>
            <w:r w:rsidR="00936F38">
              <w:rPr>
                <w:webHidden/>
              </w:rPr>
              <w:fldChar w:fldCharType="end"/>
            </w:r>
          </w:hyperlink>
        </w:p>
        <w:p w14:paraId="0E731B37" w14:textId="13E1CC67" w:rsidR="00936F38" w:rsidRDefault="00844FFC">
          <w:pPr>
            <w:pStyle w:val="TOC2"/>
            <w:rPr>
              <w:rFonts w:eastAsiaTheme="minorEastAsia"/>
              <w:sz w:val="22"/>
              <w:szCs w:val="28"/>
              <w:lang w:eastAsia="zh-CN" w:bidi="th-TH"/>
            </w:rPr>
          </w:pPr>
          <w:hyperlink w:anchor="_Toc90376286" w:history="1">
            <w:r w:rsidR="00936F38" w:rsidRPr="00655EB0">
              <w:rPr>
                <w:rStyle w:val="Hyperlink"/>
              </w:rPr>
              <w:t>Corresponding members</w:t>
            </w:r>
            <w:r w:rsidR="00936F38">
              <w:rPr>
                <w:webHidden/>
              </w:rPr>
              <w:tab/>
            </w:r>
            <w:r w:rsidR="00936F38">
              <w:rPr>
                <w:webHidden/>
              </w:rPr>
              <w:fldChar w:fldCharType="begin"/>
            </w:r>
            <w:r w:rsidR="00936F38">
              <w:rPr>
                <w:webHidden/>
              </w:rPr>
              <w:instrText xml:space="preserve"> PAGEREF _Toc90376286 \h </w:instrText>
            </w:r>
            <w:r w:rsidR="00936F38">
              <w:rPr>
                <w:webHidden/>
              </w:rPr>
            </w:r>
            <w:r w:rsidR="00936F38">
              <w:rPr>
                <w:webHidden/>
              </w:rPr>
              <w:fldChar w:fldCharType="separate"/>
            </w:r>
            <w:r w:rsidR="00936F38">
              <w:rPr>
                <w:webHidden/>
              </w:rPr>
              <w:t>16</w:t>
            </w:r>
            <w:r w:rsidR="00936F38">
              <w:rPr>
                <w:webHidden/>
              </w:rPr>
              <w:fldChar w:fldCharType="end"/>
            </w:r>
          </w:hyperlink>
        </w:p>
        <w:p w14:paraId="70E7CA0B" w14:textId="166D553F" w:rsidR="00936F38" w:rsidRDefault="00844FFC">
          <w:pPr>
            <w:pStyle w:val="TOC2"/>
            <w:rPr>
              <w:rFonts w:eastAsiaTheme="minorEastAsia"/>
              <w:sz w:val="22"/>
              <w:szCs w:val="28"/>
              <w:lang w:eastAsia="zh-CN" w:bidi="th-TH"/>
            </w:rPr>
          </w:pPr>
          <w:hyperlink w:anchor="_Toc90376287" w:history="1">
            <w:r w:rsidR="00936F38" w:rsidRPr="00655EB0">
              <w:rPr>
                <w:rStyle w:val="Hyperlink"/>
              </w:rPr>
              <w:t>Associate members</w:t>
            </w:r>
            <w:r w:rsidR="00936F38">
              <w:rPr>
                <w:webHidden/>
              </w:rPr>
              <w:tab/>
            </w:r>
            <w:r w:rsidR="00936F38">
              <w:rPr>
                <w:webHidden/>
              </w:rPr>
              <w:fldChar w:fldCharType="begin"/>
            </w:r>
            <w:r w:rsidR="00936F38">
              <w:rPr>
                <w:webHidden/>
              </w:rPr>
              <w:instrText xml:space="preserve"> PAGEREF _Toc90376287 \h </w:instrText>
            </w:r>
            <w:r w:rsidR="00936F38">
              <w:rPr>
                <w:webHidden/>
              </w:rPr>
            </w:r>
            <w:r w:rsidR="00936F38">
              <w:rPr>
                <w:webHidden/>
              </w:rPr>
              <w:fldChar w:fldCharType="separate"/>
            </w:r>
            <w:r w:rsidR="00936F38">
              <w:rPr>
                <w:webHidden/>
              </w:rPr>
              <w:t>17</w:t>
            </w:r>
            <w:r w:rsidR="00936F38">
              <w:rPr>
                <w:webHidden/>
              </w:rPr>
              <w:fldChar w:fldCharType="end"/>
            </w:r>
          </w:hyperlink>
        </w:p>
        <w:p w14:paraId="073F09A0" w14:textId="3B26288D" w:rsidR="00936F38" w:rsidRDefault="00844FFC">
          <w:pPr>
            <w:pStyle w:val="TOC1"/>
            <w:rPr>
              <w:rFonts w:eastAsiaTheme="minorEastAsia"/>
              <w:b w:val="0"/>
              <w:sz w:val="22"/>
              <w:szCs w:val="28"/>
              <w:lang w:eastAsia="zh-CN" w:bidi="th-TH"/>
            </w:rPr>
          </w:pPr>
          <w:hyperlink w:anchor="_Toc90376288" w:history="1">
            <w:r w:rsidR="00936F38" w:rsidRPr="00655EB0">
              <w:rPr>
                <w:rStyle w:val="Hyperlink"/>
              </w:rPr>
              <w:t>Contact details</w:t>
            </w:r>
            <w:r w:rsidR="00936F38">
              <w:rPr>
                <w:webHidden/>
              </w:rPr>
              <w:tab/>
            </w:r>
            <w:r w:rsidR="00936F38">
              <w:rPr>
                <w:webHidden/>
              </w:rPr>
              <w:fldChar w:fldCharType="begin"/>
            </w:r>
            <w:r w:rsidR="00936F38">
              <w:rPr>
                <w:webHidden/>
              </w:rPr>
              <w:instrText xml:space="preserve"> PAGEREF _Toc90376288 \h </w:instrText>
            </w:r>
            <w:r w:rsidR="00936F38">
              <w:rPr>
                <w:webHidden/>
              </w:rPr>
            </w:r>
            <w:r w:rsidR="00936F38">
              <w:rPr>
                <w:webHidden/>
              </w:rPr>
              <w:fldChar w:fldCharType="separate"/>
            </w:r>
            <w:r w:rsidR="00936F38">
              <w:rPr>
                <w:webHidden/>
              </w:rPr>
              <w:t>17</w:t>
            </w:r>
            <w:r w:rsidR="00936F38">
              <w:rPr>
                <w:webHidden/>
              </w:rPr>
              <w:fldChar w:fldCharType="end"/>
            </w:r>
          </w:hyperlink>
        </w:p>
        <w:p w14:paraId="40E03C44" w14:textId="6761FFAC" w:rsidR="00451DB1" w:rsidRDefault="00451DB1" w:rsidP="00451DB1">
          <w:pPr>
            <w:rPr>
              <w:b/>
              <w:bCs/>
              <w:noProof/>
            </w:rPr>
          </w:pPr>
          <w:r>
            <w:rPr>
              <w:b/>
              <w:bCs/>
              <w:noProof/>
            </w:rPr>
            <w:fldChar w:fldCharType="end"/>
          </w:r>
        </w:p>
      </w:sdtContent>
    </w:sdt>
    <w:p w14:paraId="6253A0E0" w14:textId="77777777" w:rsidR="00D223D8" w:rsidRPr="00F0127F" w:rsidRDefault="00D223D8" w:rsidP="00D223D8">
      <w:pPr>
        <w:pStyle w:val="Heading1"/>
        <w:rPr>
          <w:rStyle w:val="normaltextrun"/>
          <w:rFonts w:eastAsia="Arial"/>
          <w:sz w:val="28"/>
          <w:szCs w:val="28"/>
        </w:rPr>
      </w:pPr>
      <w:bookmarkStart w:id="0" w:name="_Toc90376266"/>
      <w:r w:rsidRPr="00F0127F">
        <w:rPr>
          <w:rStyle w:val="normaltextrun"/>
          <w:rFonts w:eastAsia="Arial"/>
          <w:sz w:val="28"/>
          <w:szCs w:val="28"/>
        </w:rPr>
        <w:lastRenderedPageBreak/>
        <w:t>Setting Australia’s Sights</w:t>
      </w:r>
      <w:bookmarkEnd w:id="0"/>
    </w:p>
    <w:p w14:paraId="3D4F99E7" w14:textId="373EF240" w:rsidR="00D223D8" w:rsidRPr="00A21BC7" w:rsidRDefault="00D223D8" w:rsidP="00FB1825">
      <w:pPr>
        <w:pStyle w:val="BodyText"/>
      </w:pPr>
      <w:r w:rsidRPr="00A21BC7">
        <w:rPr>
          <w:rStyle w:val="normaltextrun"/>
          <w:szCs w:val="24"/>
        </w:rPr>
        <w:t>In Australia, 90</w:t>
      </w:r>
      <w:r w:rsidR="00863B90" w:rsidRPr="00A21BC7">
        <w:rPr>
          <w:rStyle w:val="normaltextrun"/>
          <w:szCs w:val="24"/>
        </w:rPr>
        <w:t>%</w:t>
      </w:r>
      <w:r w:rsidRPr="00A21BC7">
        <w:rPr>
          <w:rStyle w:val="normaltextrun"/>
          <w:szCs w:val="24"/>
        </w:rPr>
        <w:t xml:space="preserve"> of blindness and vision loss is preventable or treatable if detected early enough</w:t>
      </w:r>
      <w:r w:rsidRPr="00772A7F">
        <w:t>.</w:t>
      </w:r>
      <w:r w:rsidRPr="00772A7F">
        <w:rPr>
          <w:rStyle w:val="FootnoteReference"/>
          <w:szCs w:val="24"/>
        </w:rPr>
        <w:footnoteReference w:id="2"/>
      </w:r>
      <w:r w:rsidR="002800A0" w:rsidRPr="00772A7F">
        <w:t xml:space="preserve"> </w:t>
      </w:r>
      <w:r w:rsidRPr="00772A7F">
        <w:t>Despite</w:t>
      </w:r>
      <w:r w:rsidRPr="00A21BC7">
        <w:rPr>
          <w:rStyle w:val="eop"/>
          <w:szCs w:val="24"/>
        </w:rPr>
        <w:t xml:space="preserve"> this, many Australians continue to experience avoidable vision loss due to conditions such as cataract and diabetes eye disease, that could easily be prevented through early detection and cost-effective treatment.</w:t>
      </w:r>
    </w:p>
    <w:p w14:paraId="1D8AD157" w14:textId="77777777" w:rsidR="002A753E" w:rsidRPr="002A753E" w:rsidRDefault="002A753E" w:rsidP="002A753E">
      <w:pPr>
        <w:pStyle w:val="BodyText"/>
      </w:pPr>
      <w:r w:rsidRPr="002A753E">
        <w:t>Recent estimates indicate that by 2050, 1 in 2 Australian’s will require eye care services.</w:t>
      </w:r>
      <w:r w:rsidRPr="002A753E">
        <w:rPr>
          <w:vertAlign w:val="superscript"/>
        </w:rPr>
        <w:footnoteReference w:id="3"/>
      </w:r>
      <w:r w:rsidRPr="002A753E">
        <w:t xml:space="preserve"> </w:t>
      </w:r>
    </w:p>
    <w:p w14:paraId="718DBC5C" w14:textId="77777777" w:rsidR="002A753E" w:rsidRPr="002A753E" w:rsidRDefault="002A753E" w:rsidP="002A753E">
      <w:pPr>
        <w:pStyle w:val="BodyText"/>
      </w:pPr>
      <w:r w:rsidRPr="002A753E">
        <w:t>Currently there are 453,000 Australian’s who are blind or vision impaired.</w:t>
      </w:r>
      <w:r w:rsidRPr="002A753E">
        <w:rPr>
          <w:vertAlign w:val="superscript"/>
        </w:rPr>
        <w:footnoteReference w:id="4"/>
      </w:r>
      <w:r w:rsidRPr="002A753E">
        <w:t xml:space="preserve">  Aboriginal and Torres Strait Islander people are disproportionally impacted, experiencing blindness and vision loss at three times the rate of other Australians, accounting for 11% of the health gap.</w:t>
      </w:r>
      <w:r w:rsidRPr="002A753E">
        <w:rPr>
          <w:vertAlign w:val="superscript"/>
        </w:rPr>
        <w:footnoteReference w:id="5"/>
      </w:r>
      <w:r w:rsidRPr="002A753E">
        <w:t xml:space="preserve"> </w:t>
      </w:r>
    </w:p>
    <w:p w14:paraId="0640536C" w14:textId="77777777" w:rsidR="00D223D8" w:rsidRPr="00A21BC7" w:rsidRDefault="00D223D8" w:rsidP="00FB1825">
      <w:pPr>
        <w:pStyle w:val="BodyText"/>
      </w:pPr>
      <w:r w:rsidRPr="00A21BC7">
        <w:rPr>
          <w:rStyle w:val="normaltextrun"/>
          <w:szCs w:val="24"/>
        </w:rPr>
        <w:t>This has significant social and economic costs, with recent data indicating vision loss costs the Australian economy $27.6 billion annually or $46,950 per person with vision loss aged over 40.</w:t>
      </w:r>
      <w:r w:rsidRPr="00A21BC7">
        <w:rPr>
          <w:rStyle w:val="FootnoteReference"/>
          <w:szCs w:val="24"/>
        </w:rPr>
        <w:footnoteReference w:id="6"/>
      </w:r>
    </w:p>
    <w:p w14:paraId="6CCCFBEC" w14:textId="77777777" w:rsidR="00D223D8" w:rsidRPr="00A21BC7" w:rsidRDefault="00D223D8" w:rsidP="00FB1825">
      <w:pPr>
        <w:pStyle w:val="BodyText"/>
      </w:pPr>
      <w:r w:rsidRPr="00A21BC7">
        <w:rPr>
          <w:rStyle w:val="normaltextrun"/>
          <w:szCs w:val="24"/>
          <w:lang w:val="en-US"/>
        </w:rPr>
        <w:t>With the right support and services, people with unavoidable blindness and vision impairment can remain independent, engaged in their communities, and living the life they choose.</w:t>
      </w:r>
      <w:r w:rsidRPr="00A21BC7">
        <w:rPr>
          <w:rStyle w:val="eop"/>
          <w:szCs w:val="24"/>
        </w:rPr>
        <w:t> </w:t>
      </w:r>
    </w:p>
    <w:p w14:paraId="0EE97497" w14:textId="77777777" w:rsidR="00D223D8" w:rsidRPr="00A21BC7" w:rsidRDefault="00D223D8" w:rsidP="00FB1825">
      <w:pPr>
        <w:pStyle w:val="BodyText"/>
      </w:pPr>
      <w:r w:rsidRPr="00A21BC7">
        <w:rPr>
          <w:rStyle w:val="eop"/>
          <w:szCs w:val="24"/>
        </w:rPr>
        <w:t xml:space="preserve">Australia is a global leader in eye health and vision care, </w:t>
      </w:r>
      <w:r w:rsidRPr="00A21BC7">
        <w:t>championing the 2020 World Health Assembly resolution to end avoidable blindness</w:t>
      </w:r>
      <w:r w:rsidRPr="00A21BC7">
        <w:rPr>
          <w:rStyle w:val="FootnoteReference"/>
          <w:szCs w:val="24"/>
          <w:vertAlign w:val="baseline"/>
        </w:rPr>
        <w:footnoteReference w:id="7"/>
      </w:r>
      <w:r w:rsidRPr="00A21BC7">
        <w:t xml:space="preserve"> and the development of global eye health targets, and</w:t>
      </w:r>
      <w:r w:rsidRPr="00A21BC7">
        <w:rPr>
          <w:rStyle w:val="eop"/>
          <w:szCs w:val="24"/>
        </w:rPr>
        <w:t xml:space="preserve"> co-sponsoring the United Nations resolution </w:t>
      </w:r>
      <w:r w:rsidRPr="00A21BC7">
        <w:rPr>
          <w:rStyle w:val="normaltextrun"/>
          <w:szCs w:val="24"/>
        </w:rPr>
        <w:t>Vision for Everyone</w:t>
      </w:r>
      <w:r w:rsidRPr="00A21BC7">
        <w:rPr>
          <w:rStyle w:val="FootnoteReference"/>
          <w:szCs w:val="24"/>
          <w:vertAlign w:val="baseline"/>
        </w:rPr>
        <w:footnoteReference w:id="8"/>
      </w:r>
      <w:r w:rsidRPr="00A21BC7">
        <w:rPr>
          <w:rStyle w:val="normaltextrun"/>
          <w:szCs w:val="24"/>
        </w:rPr>
        <w:t xml:space="preserve">. </w:t>
      </w:r>
      <w:r w:rsidRPr="00A21BC7">
        <w:t xml:space="preserve">Australia can action these commitments by working in partnership with the eye health and vision care sector to tackle high levels of vision loss in our region and ensure those with disabilities are not left behind. </w:t>
      </w:r>
    </w:p>
    <w:p w14:paraId="2D2A6F0B" w14:textId="77777777" w:rsidR="00D223D8" w:rsidRPr="00A21BC7" w:rsidRDefault="00D223D8" w:rsidP="00FB1825">
      <w:pPr>
        <w:pStyle w:val="BodyText"/>
        <w:rPr>
          <w:rStyle w:val="eop"/>
          <w:szCs w:val="24"/>
        </w:rPr>
      </w:pPr>
      <w:r w:rsidRPr="00A21BC7">
        <w:rPr>
          <w:rStyle w:val="eop"/>
          <w:szCs w:val="24"/>
        </w:rPr>
        <w:t xml:space="preserve">This federal election the eye health and vision care sector </w:t>
      </w:r>
      <w:proofErr w:type="gramStart"/>
      <w:r w:rsidRPr="00A21BC7">
        <w:rPr>
          <w:rStyle w:val="eop"/>
          <w:szCs w:val="24"/>
        </w:rPr>
        <w:t>is</w:t>
      </w:r>
      <w:proofErr w:type="gramEnd"/>
      <w:r w:rsidRPr="00A21BC7">
        <w:rPr>
          <w:rStyle w:val="eop"/>
          <w:szCs w:val="24"/>
        </w:rPr>
        <w:t xml:space="preserve"> calling on the Australian Government to: </w:t>
      </w:r>
    </w:p>
    <w:p w14:paraId="4FF2B696" w14:textId="77777777" w:rsidR="00D223D8" w:rsidRPr="00A21BC7" w:rsidRDefault="00D223D8" w:rsidP="00FB1825">
      <w:pPr>
        <w:pStyle w:val="BodyText"/>
        <w:rPr>
          <w:rStyle w:val="eop"/>
          <w:rFonts w:ascii="Arial" w:hAnsi="Arial"/>
          <w:szCs w:val="24"/>
        </w:rPr>
      </w:pPr>
      <w:r w:rsidRPr="00A21BC7">
        <w:rPr>
          <w:rStyle w:val="eop"/>
          <w:rFonts w:ascii="Arial" w:hAnsi="Arial"/>
          <w:szCs w:val="24"/>
        </w:rPr>
        <w:t>Provide an additional $65 million to meet the Australian Government commitment to ending avoidable blindness in Indigenous communities by 2025, through full implementation of the Strong Eyes, Strong Communities recommendations.</w:t>
      </w:r>
    </w:p>
    <w:p w14:paraId="2D537E2C" w14:textId="77777777" w:rsidR="00D223D8" w:rsidRPr="00A21BC7" w:rsidRDefault="00D223D8" w:rsidP="004028A4">
      <w:pPr>
        <w:pStyle w:val="ListBullet0"/>
        <w:rPr>
          <w:rStyle w:val="eop"/>
          <w:rFonts w:ascii="Arial" w:eastAsia="Arial" w:hAnsi="Arial" w:cs="Arial"/>
        </w:rPr>
      </w:pPr>
      <w:r w:rsidRPr="00A21BC7">
        <w:rPr>
          <w:rStyle w:val="eop"/>
          <w:rFonts w:ascii="Arial" w:eastAsia="Arial" w:hAnsi="Arial" w:cs="Arial"/>
          <w:color w:val="000000" w:themeColor="text1"/>
        </w:rPr>
        <w:t xml:space="preserve">Invest $26.4 million over 4 years to tackle the blindness crisis in Papua New Guinea. </w:t>
      </w:r>
    </w:p>
    <w:p w14:paraId="771C241D" w14:textId="77777777" w:rsidR="00D223D8" w:rsidRPr="00A21BC7" w:rsidRDefault="00D223D8" w:rsidP="004028A4">
      <w:pPr>
        <w:pStyle w:val="ListBullet0"/>
        <w:rPr>
          <w:rStyle w:val="eop"/>
          <w:rFonts w:ascii="Arial" w:eastAsia="Arial" w:hAnsi="Arial" w:cs="Arial"/>
          <w:color w:val="000000" w:themeColor="text1"/>
        </w:rPr>
      </w:pPr>
      <w:r w:rsidRPr="00A21BC7">
        <w:rPr>
          <w:rStyle w:val="eop"/>
          <w:rFonts w:ascii="Arial" w:eastAsia="Arial" w:hAnsi="Arial" w:cs="Arial"/>
          <w:color w:val="000000" w:themeColor="text1"/>
        </w:rPr>
        <w:lastRenderedPageBreak/>
        <w:t xml:space="preserve">Provide an additional $14 million per annum for disability inclusion in Australia's aid program to ensure people living with disability are not left behind. </w:t>
      </w:r>
    </w:p>
    <w:p w14:paraId="0DA26D57" w14:textId="77777777" w:rsidR="00D223D8" w:rsidRPr="00A21BC7" w:rsidRDefault="00D223D8" w:rsidP="004028A4">
      <w:pPr>
        <w:pStyle w:val="ListBullet0"/>
        <w:rPr>
          <w:rStyle w:val="eop"/>
          <w:rFonts w:ascii="Arial" w:eastAsia="Arial" w:hAnsi="Arial" w:cs="Arial"/>
          <w:color w:val="000000" w:themeColor="text1"/>
        </w:rPr>
      </w:pPr>
      <w:r w:rsidRPr="00A21BC7">
        <w:rPr>
          <w:rStyle w:val="eop"/>
          <w:rFonts w:ascii="Arial" w:eastAsia="Arial" w:hAnsi="Arial" w:cs="Arial"/>
          <w:color w:val="000000" w:themeColor="text1"/>
        </w:rPr>
        <w:t xml:space="preserve">Invest $5.04 million over 4 years to trial a just-in-time online or phone coaching service and develop online resources for disability and aged care workers and assessors. </w:t>
      </w:r>
    </w:p>
    <w:p w14:paraId="2B495F60" w14:textId="77777777" w:rsidR="00D223D8" w:rsidRPr="00A21BC7" w:rsidRDefault="00D223D8" w:rsidP="004028A4">
      <w:pPr>
        <w:pStyle w:val="ListBullet0"/>
        <w:rPr>
          <w:rStyle w:val="eop"/>
          <w:rFonts w:ascii="Arial" w:eastAsia="Arial" w:hAnsi="Arial" w:cs="Arial"/>
          <w:color w:val="000000" w:themeColor="text1"/>
        </w:rPr>
      </w:pPr>
      <w:r w:rsidRPr="00A21BC7">
        <w:rPr>
          <w:rStyle w:val="eop"/>
          <w:rFonts w:ascii="Arial" w:eastAsia="Arial" w:hAnsi="Arial" w:cs="Arial"/>
          <w:color w:val="000000" w:themeColor="text1"/>
        </w:rPr>
        <w:t>Fund a national, harmonised scheme to provide Assistive Technology to older Australians with disabilities including vision loss.</w:t>
      </w:r>
    </w:p>
    <w:p w14:paraId="38DCA544" w14:textId="77777777" w:rsidR="00D223D8" w:rsidRPr="00A21BC7" w:rsidRDefault="00D223D8" w:rsidP="004028A4">
      <w:pPr>
        <w:pStyle w:val="ListBullet0"/>
        <w:rPr>
          <w:rStyle w:val="eop"/>
          <w:rFonts w:ascii="Arial" w:eastAsia="Arial" w:hAnsi="Arial" w:cs="Arial"/>
          <w:color w:val="000000" w:themeColor="text1"/>
        </w:rPr>
      </w:pPr>
      <w:r w:rsidRPr="00A21BC7">
        <w:rPr>
          <w:rStyle w:val="eop"/>
          <w:rFonts w:ascii="Arial" w:eastAsia="Arial" w:hAnsi="Arial" w:cs="Arial"/>
          <w:color w:val="000000" w:themeColor="text1"/>
        </w:rPr>
        <w:t xml:space="preserve">Introduce packages for children with vision loss entering the NDIS, </w:t>
      </w:r>
      <w:proofErr w:type="gramStart"/>
      <w:r w:rsidRPr="00A21BC7">
        <w:rPr>
          <w:rStyle w:val="eop"/>
          <w:rFonts w:ascii="Arial" w:eastAsia="Arial" w:hAnsi="Arial" w:cs="Arial"/>
          <w:color w:val="000000" w:themeColor="text1"/>
        </w:rPr>
        <w:t>similar to</w:t>
      </w:r>
      <w:proofErr w:type="gramEnd"/>
      <w:r w:rsidRPr="00A21BC7">
        <w:rPr>
          <w:rStyle w:val="eop"/>
          <w:rFonts w:ascii="Arial" w:eastAsia="Arial" w:hAnsi="Arial" w:cs="Arial"/>
          <w:color w:val="000000" w:themeColor="text1"/>
        </w:rPr>
        <w:t xml:space="preserve"> those which already exist for children with hearing loss.</w:t>
      </w:r>
    </w:p>
    <w:p w14:paraId="03BCEECF" w14:textId="77777777" w:rsidR="00D223D8" w:rsidRPr="00A21BC7" w:rsidRDefault="00D223D8" w:rsidP="004028A4">
      <w:pPr>
        <w:pStyle w:val="ListBullet0"/>
        <w:rPr>
          <w:rStyle w:val="eop"/>
          <w:rFonts w:ascii="Arial" w:eastAsia="Arial" w:hAnsi="Arial" w:cs="Arial"/>
          <w:color w:val="000000" w:themeColor="text1"/>
        </w:rPr>
      </w:pPr>
      <w:r w:rsidRPr="00A21BC7">
        <w:rPr>
          <w:rStyle w:val="normaltextrun"/>
          <w:rFonts w:ascii="Arial" w:hAnsi="Arial"/>
          <w:color w:val="000000"/>
          <w:shd w:val="clear" w:color="auto" w:fill="FFFFFF"/>
        </w:rPr>
        <w:t>Amend the Broadcasting Services Act to legally require the provision of Audio Description on free-to-air TV.</w:t>
      </w:r>
      <w:r w:rsidRPr="00A21BC7">
        <w:rPr>
          <w:rStyle w:val="eop"/>
          <w:rFonts w:ascii="Arial" w:hAnsi="Arial"/>
          <w:color w:val="000000"/>
          <w:shd w:val="clear" w:color="auto" w:fill="FFFFFF"/>
        </w:rPr>
        <w:t> </w:t>
      </w:r>
    </w:p>
    <w:p w14:paraId="02222B28" w14:textId="77777777" w:rsidR="00D223D8" w:rsidRPr="00A21BC7" w:rsidRDefault="00D223D8" w:rsidP="004028A4">
      <w:pPr>
        <w:pStyle w:val="ListBullet0"/>
        <w:rPr>
          <w:rStyle w:val="eop"/>
          <w:rFonts w:ascii="Arial" w:eastAsia="Arial" w:hAnsi="Arial" w:cs="Arial"/>
          <w:color w:val="000000" w:themeColor="text1"/>
        </w:rPr>
      </w:pPr>
      <w:r w:rsidRPr="00A21BC7">
        <w:rPr>
          <w:rStyle w:val="eop"/>
          <w:rFonts w:ascii="Arial" w:eastAsia="Arial" w:hAnsi="Arial" w:cs="Arial"/>
          <w:color w:val="000000" w:themeColor="text1"/>
        </w:rPr>
        <w:t xml:space="preserve">Establish a dedicated vision mission within the Medical Research Future Fund of $150 million over 10 years. </w:t>
      </w:r>
    </w:p>
    <w:p w14:paraId="6A85774A" w14:textId="77777777" w:rsidR="00F06A8B" w:rsidRDefault="00F06A8B" w:rsidP="004028A4">
      <w:pPr>
        <w:pStyle w:val="ListBullet0"/>
        <w:rPr>
          <w:rStyle w:val="eop"/>
          <w:rFonts w:ascii="Arial" w:eastAsia="Arial" w:hAnsi="Arial" w:cs="Arial"/>
          <w:color w:val="000000" w:themeColor="text1"/>
        </w:rPr>
      </w:pPr>
      <w:r w:rsidRPr="00F06A8B">
        <w:rPr>
          <w:rStyle w:val="eop"/>
          <w:rFonts w:ascii="Arial" w:eastAsia="Arial" w:hAnsi="Arial" w:cs="Arial"/>
          <w:color w:val="000000" w:themeColor="text1"/>
        </w:rPr>
        <w:t xml:space="preserve">Fund ophthalmology staff specialist positions in the public system and develop new and innovative eye health workforce strategies that improve access to cataract surgery and intravitreal injections in regional, </w:t>
      </w:r>
      <w:proofErr w:type="gramStart"/>
      <w:r w:rsidRPr="00F06A8B">
        <w:rPr>
          <w:rStyle w:val="eop"/>
          <w:rFonts w:ascii="Arial" w:eastAsia="Arial" w:hAnsi="Arial" w:cs="Arial"/>
          <w:color w:val="000000" w:themeColor="text1"/>
        </w:rPr>
        <w:t>rural</w:t>
      </w:r>
      <w:proofErr w:type="gramEnd"/>
      <w:r w:rsidRPr="00F06A8B">
        <w:rPr>
          <w:rStyle w:val="eop"/>
          <w:rFonts w:ascii="Arial" w:eastAsia="Arial" w:hAnsi="Arial" w:cs="Arial"/>
          <w:color w:val="000000" w:themeColor="text1"/>
        </w:rPr>
        <w:t xml:space="preserve"> and remote Australia.</w:t>
      </w:r>
    </w:p>
    <w:p w14:paraId="34467AD9" w14:textId="683F96B4" w:rsidR="00D223D8" w:rsidRPr="00A21BC7" w:rsidRDefault="00D223D8" w:rsidP="004028A4">
      <w:pPr>
        <w:pStyle w:val="ListBullet0"/>
        <w:rPr>
          <w:rStyle w:val="eop"/>
          <w:rFonts w:ascii="Arial" w:eastAsia="Arial" w:hAnsi="Arial" w:cs="Arial"/>
          <w:color w:val="000000" w:themeColor="text1"/>
        </w:rPr>
      </w:pPr>
      <w:r w:rsidRPr="00A21BC7">
        <w:rPr>
          <w:rStyle w:val="eop"/>
          <w:rFonts w:ascii="Arial" w:eastAsia="Arial" w:hAnsi="Arial" w:cs="Arial"/>
          <w:color w:val="000000" w:themeColor="text1"/>
        </w:rPr>
        <w:t xml:space="preserve">Adopt a National Framework for children’s vision screening to ensure all children have their eyes screened prior to starting school. </w:t>
      </w:r>
    </w:p>
    <w:p w14:paraId="0EE3AA88" w14:textId="05157A1D" w:rsidR="00D223D8" w:rsidRPr="00A21BC7" w:rsidRDefault="001D46C8" w:rsidP="004028A4">
      <w:pPr>
        <w:pStyle w:val="ListBullet0"/>
        <w:rPr>
          <w:rFonts w:eastAsia="Arial"/>
        </w:rPr>
      </w:pPr>
      <w:r w:rsidRPr="001D46C8">
        <w:rPr>
          <w:rStyle w:val="eop"/>
          <w:rFonts w:ascii="Arial" w:eastAsia="Arial" w:hAnsi="Arial" w:cs="Arial"/>
          <w:color w:val="000000" w:themeColor="text1"/>
        </w:rPr>
        <w:t>Implement the Expanded Core Curriculum nationally for students who are blind or have low vision and require universities to comply with accessible information and communications technology (ICT) procurement standards.</w:t>
      </w:r>
      <w:r w:rsidR="00D223D8" w:rsidRPr="00A21BC7">
        <w:rPr>
          <w:rStyle w:val="eop"/>
          <w:rFonts w:ascii="Arial" w:eastAsia="Arial" w:hAnsi="Arial" w:cs="Arial"/>
          <w:color w:val="000000" w:themeColor="text1"/>
        </w:rPr>
        <w:t xml:space="preserve"> </w:t>
      </w:r>
      <w:bookmarkStart w:id="1" w:name="_Policy_priorities"/>
      <w:bookmarkStart w:id="2" w:name="_Toc81220794"/>
      <w:bookmarkStart w:id="3" w:name="_Toc81557011"/>
      <w:bookmarkEnd w:id="1"/>
    </w:p>
    <w:p w14:paraId="4F11D2C3" w14:textId="77777777" w:rsidR="00D223D8" w:rsidRPr="00BA2B01" w:rsidRDefault="00D223D8" w:rsidP="00D223D8">
      <w:pPr>
        <w:pStyle w:val="Heading1"/>
      </w:pPr>
      <w:bookmarkStart w:id="4" w:name="_Toc90376267"/>
      <w:r w:rsidRPr="00BA2B01">
        <w:t>End avoidable blindness in Aboriginal and Torres Strait Islander communities</w:t>
      </w:r>
      <w:bookmarkEnd w:id="2"/>
      <w:bookmarkEnd w:id="3"/>
      <w:bookmarkEnd w:id="4"/>
    </w:p>
    <w:p w14:paraId="79CF54E2" w14:textId="77777777" w:rsidR="00D223D8" w:rsidRPr="00A21BC7" w:rsidRDefault="00D223D8" w:rsidP="00FB1825">
      <w:pPr>
        <w:pStyle w:val="BodyText"/>
      </w:pPr>
      <w:r w:rsidRPr="00A21BC7">
        <w:t>Invest an additional $65 million to meet the Australian Government commitment to ending avoidable blindness in Indigenous communities by 2025.</w:t>
      </w:r>
    </w:p>
    <w:p w14:paraId="21F85E56" w14:textId="77777777" w:rsidR="00D223D8" w:rsidRPr="00A21BC7" w:rsidRDefault="00D223D8" w:rsidP="00FB1825">
      <w:pPr>
        <w:pStyle w:val="BodyText"/>
        <w:rPr>
          <w:lang w:val="en-GB"/>
        </w:rPr>
      </w:pPr>
      <w:r w:rsidRPr="00A21BC7">
        <w:rPr>
          <w:lang w:val="en-US"/>
        </w:rPr>
        <w:t xml:space="preserve">The Australian Government has committed </w:t>
      </w:r>
      <w:r w:rsidRPr="00A21BC7">
        <w:rPr>
          <w:lang w:val="en-GB"/>
        </w:rPr>
        <w:t>to ending avoidable blindness in Indigenous communities by 2025.</w:t>
      </w:r>
      <w:r w:rsidRPr="00A21BC7">
        <w:rPr>
          <w:rStyle w:val="FootnoteReference"/>
          <w:szCs w:val="24"/>
          <w:lang w:val="en-GB"/>
        </w:rPr>
        <w:footnoteReference w:id="9"/>
      </w:r>
      <w:r w:rsidRPr="00A21BC7">
        <w:rPr>
          <w:lang w:val="en-GB"/>
        </w:rPr>
        <w:t xml:space="preserve"> Despite this, Aboriginal and Torres Strait Islander People continue to experience blindness and vision loss at three times the rate of other Australians. </w:t>
      </w:r>
    </w:p>
    <w:p w14:paraId="2C5E485B" w14:textId="77777777" w:rsidR="009C6342" w:rsidRDefault="00D223D8" w:rsidP="00FB1825">
      <w:pPr>
        <w:pStyle w:val="BodyText"/>
        <w:rPr>
          <w:lang w:val="en-GB"/>
        </w:rPr>
      </w:pPr>
      <w:r w:rsidRPr="00A21BC7">
        <w:rPr>
          <w:i/>
          <w:lang w:val="en-GB"/>
        </w:rPr>
        <w:t xml:space="preserve">Strong Eyes, Strong Communities – a </w:t>
      </w:r>
      <w:proofErr w:type="gramStart"/>
      <w:r w:rsidRPr="00A21BC7">
        <w:rPr>
          <w:i/>
          <w:lang w:val="en-GB"/>
        </w:rPr>
        <w:t>five year</w:t>
      </w:r>
      <w:proofErr w:type="gramEnd"/>
      <w:r w:rsidRPr="00A21BC7">
        <w:rPr>
          <w:i/>
          <w:lang w:val="en-GB"/>
        </w:rPr>
        <w:t xml:space="preserve"> plan for Aboriginal and Torres Strait Islander Eye Health and Vision 2019-2024</w:t>
      </w:r>
      <w:r w:rsidRPr="00A21BC7">
        <w:rPr>
          <w:rStyle w:val="FootnoteReference"/>
          <w:i/>
          <w:szCs w:val="24"/>
          <w:lang w:val="en-GB"/>
        </w:rPr>
        <w:footnoteReference w:id="10"/>
      </w:r>
      <w:r w:rsidRPr="00A21BC7">
        <w:rPr>
          <w:i/>
          <w:lang w:val="en-GB"/>
        </w:rPr>
        <w:t xml:space="preserve"> </w:t>
      </w:r>
      <w:r w:rsidRPr="00A21BC7">
        <w:t xml:space="preserve">sets out a concrete plan of action to take this commitment forward. Critically, the plan’s actions and approach also align strongly to the principles and directions set out in the </w:t>
      </w:r>
      <w:r w:rsidRPr="00A21BC7">
        <w:rPr>
          <w:i/>
        </w:rPr>
        <w:t>National Partnership Agreement on Closing the Gap 2020</w:t>
      </w:r>
      <w:r w:rsidRPr="00A21BC7">
        <w:rPr>
          <w:lang w:val="en-GB"/>
        </w:rPr>
        <w:t>.</w:t>
      </w:r>
    </w:p>
    <w:p w14:paraId="6C1125A6" w14:textId="0734AD78" w:rsidR="00D223D8" w:rsidRPr="00A21BC7" w:rsidRDefault="00D223D8" w:rsidP="00FB1825">
      <w:pPr>
        <w:pStyle w:val="BodyText"/>
        <w:rPr>
          <w:lang w:val="en-GB"/>
        </w:rPr>
      </w:pPr>
      <w:r w:rsidRPr="00A21BC7">
        <w:rPr>
          <w:lang w:val="en-GB"/>
        </w:rPr>
        <w:lastRenderedPageBreak/>
        <w:t xml:space="preserve">While Government has </w:t>
      </w:r>
      <w:proofErr w:type="gramStart"/>
      <w:r w:rsidRPr="00A21BC7">
        <w:rPr>
          <w:lang w:val="en-GB"/>
        </w:rPr>
        <w:t>taken action</w:t>
      </w:r>
      <w:proofErr w:type="gramEnd"/>
      <w:r w:rsidRPr="00A21BC7">
        <w:rPr>
          <w:lang w:val="en-GB"/>
        </w:rPr>
        <w:t xml:space="preserve"> on some recommendations, there are still a number that require immediate Government support if we are to meet the target goal of closing the gap in vision by 2025.</w:t>
      </w:r>
    </w:p>
    <w:p w14:paraId="68DE5028" w14:textId="77777777" w:rsidR="00D223D8" w:rsidRPr="00A21BC7" w:rsidRDefault="00D223D8" w:rsidP="00FB1825">
      <w:pPr>
        <w:pStyle w:val="BodyText"/>
      </w:pPr>
      <w:r w:rsidRPr="00A21BC7">
        <w:rPr>
          <w:lang w:val="en-GB"/>
        </w:rPr>
        <w:t xml:space="preserve">With further investment </w:t>
      </w:r>
      <w:r w:rsidRPr="00A21BC7">
        <w:rPr>
          <w:i/>
          <w:iCs/>
          <w:lang w:val="en-GB"/>
        </w:rPr>
        <w:t>Strong Eyes, strong Communities</w:t>
      </w:r>
      <w:r w:rsidRPr="00A21BC7">
        <w:rPr>
          <w:lang w:val="en-GB"/>
        </w:rPr>
        <w:t xml:space="preserve"> can </w:t>
      </w:r>
      <w:r w:rsidRPr="00A21BC7">
        <w:t xml:space="preserve">deliver more than 183,000 required additional outreach services over the 2021-2025 period as well as other activities to build sustainable, community led </w:t>
      </w:r>
      <w:proofErr w:type="gramStart"/>
      <w:r w:rsidRPr="00A21BC7">
        <w:t>locally-responsive</w:t>
      </w:r>
      <w:proofErr w:type="gramEnd"/>
      <w:r w:rsidRPr="00A21BC7">
        <w:t xml:space="preserve"> eye care into the future. </w:t>
      </w:r>
    </w:p>
    <w:p w14:paraId="679CF3C8" w14:textId="716070EF" w:rsidR="00D223D8" w:rsidRPr="00A21BC7" w:rsidRDefault="00D223D8" w:rsidP="00FB1825">
      <w:pPr>
        <w:pStyle w:val="BodyText"/>
        <w:rPr>
          <w:lang w:val="en-GB"/>
        </w:rPr>
      </w:pPr>
      <w:r w:rsidRPr="00A21BC7">
        <w:rPr>
          <w:lang w:val="en-GB"/>
        </w:rPr>
        <w:t>By combining the expertise, resources and commitment of community-controlled organisations, the eye sector and Government, we can achieve integrated models of healthcare that will enhance eye care delivery. Honouring the Government’s commitment to ending avoidable blindness in Aboriginal and Torres Strait Islander communities and closing the gap in vision.</w:t>
      </w:r>
    </w:p>
    <w:p w14:paraId="5DDD5364" w14:textId="77777777" w:rsidR="00D223D8" w:rsidRPr="00BA2B01" w:rsidRDefault="00D223D8" w:rsidP="00D223D8">
      <w:pPr>
        <w:pStyle w:val="Heading1"/>
      </w:pPr>
      <w:bookmarkStart w:id="5" w:name="_Toc90376268"/>
      <w:r w:rsidRPr="48D3398A">
        <w:rPr>
          <w:rFonts w:eastAsia="Arial"/>
        </w:rPr>
        <w:t>Tackling the blindness crisis in PNG</w:t>
      </w:r>
      <w:bookmarkEnd w:id="5"/>
      <w:r w:rsidRPr="48D3398A">
        <w:rPr>
          <w:rFonts w:eastAsia="Arial"/>
        </w:rPr>
        <w:t xml:space="preserve"> </w:t>
      </w:r>
    </w:p>
    <w:p w14:paraId="1D3D5E12" w14:textId="0E7D8B49" w:rsidR="00D223D8" w:rsidRPr="00E85B70" w:rsidRDefault="00D223D8" w:rsidP="00FB1825">
      <w:pPr>
        <w:pStyle w:val="BodyText"/>
      </w:pPr>
      <w:r w:rsidRPr="00E85B70">
        <w:t>Invest $26.4 million over 4 years to tackle the blindness crisis in PNG</w:t>
      </w:r>
      <w:r w:rsidR="00953779" w:rsidRPr="00E85B70">
        <w:t>.</w:t>
      </w:r>
    </w:p>
    <w:p w14:paraId="0A0FD665" w14:textId="4EA13BE3" w:rsidR="00D223D8" w:rsidRPr="00E85B70" w:rsidRDefault="00D223D8" w:rsidP="00FB1825">
      <w:pPr>
        <w:pStyle w:val="BodyText"/>
      </w:pPr>
      <w:r w:rsidRPr="00E85B70">
        <w:t>Papua New Guinea (PNG) has one of the highest rates of blindness in the world with an estimated 860,000 people with vision loss</w:t>
      </w:r>
      <w:r w:rsidRPr="00E85B70">
        <w:rPr>
          <w:rStyle w:val="FootnoteReference"/>
          <w:szCs w:val="24"/>
        </w:rPr>
        <w:footnoteReference w:id="11"/>
      </w:r>
      <w:r w:rsidRPr="00E85B70">
        <w:t xml:space="preserve"> - 61% of whom are women</w:t>
      </w:r>
      <w:r w:rsidRPr="00E85B70">
        <w:rPr>
          <w:rStyle w:val="FootnoteReference"/>
          <w:szCs w:val="24"/>
        </w:rPr>
        <w:footnoteReference w:id="12"/>
      </w:r>
      <w:r w:rsidRPr="00E85B70">
        <w:t>.</w:t>
      </w:r>
    </w:p>
    <w:p w14:paraId="1CA0A986" w14:textId="77777777" w:rsidR="00D223D8" w:rsidRPr="00E85B70" w:rsidRDefault="00D223D8" w:rsidP="00FB1825">
      <w:pPr>
        <w:pStyle w:val="BodyText"/>
      </w:pPr>
      <w:r w:rsidRPr="00E85B70">
        <w:t xml:space="preserve">The main causes are: </w:t>
      </w:r>
    </w:p>
    <w:p w14:paraId="5A94426F" w14:textId="77777777" w:rsidR="00D223D8" w:rsidRPr="00E85B70" w:rsidRDefault="00D223D8" w:rsidP="00953779">
      <w:pPr>
        <w:pStyle w:val="ListBullet0"/>
        <w:rPr>
          <w:rFonts w:eastAsiaTheme="minorEastAsia"/>
        </w:rPr>
      </w:pPr>
      <w:r w:rsidRPr="00E85B70">
        <w:rPr>
          <w:rFonts w:eastAsia="Arial"/>
        </w:rPr>
        <w:t xml:space="preserve">Untreated cataracts which can be removed with low cost, sight saving </w:t>
      </w:r>
      <w:proofErr w:type="gramStart"/>
      <w:r w:rsidRPr="00E85B70">
        <w:rPr>
          <w:rFonts w:eastAsia="Arial"/>
        </w:rPr>
        <w:t>surgery;</w:t>
      </w:r>
      <w:proofErr w:type="gramEnd"/>
      <w:r w:rsidRPr="00E85B70">
        <w:rPr>
          <w:rFonts w:eastAsia="Arial"/>
        </w:rPr>
        <w:t xml:space="preserve"> </w:t>
      </w:r>
    </w:p>
    <w:p w14:paraId="04C5847A" w14:textId="77777777" w:rsidR="00D223D8" w:rsidRPr="00E85B70" w:rsidRDefault="00D223D8" w:rsidP="00953779">
      <w:pPr>
        <w:pStyle w:val="ListBullet0"/>
        <w:rPr>
          <w:rFonts w:eastAsiaTheme="minorEastAsia"/>
        </w:rPr>
      </w:pPr>
      <w:r w:rsidRPr="00E85B70">
        <w:rPr>
          <w:rFonts w:eastAsia="Arial"/>
        </w:rPr>
        <w:t>Uncorrected refractive error which can be corrected with the right pair of glasses (which two out of three people do not have access to); and</w:t>
      </w:r>
    </w:p>
    <w:p w14:paraId="2878023B" w14:textId="77777777" w:rsidR="00D223D8" w:rsidRPr="00E85B70" w:rsidRDefault="00D223D8" w:rsidP="00953779">
      <w:pPr>
        <w:pStyle w:val="ListBullet0"/>
        <w:rPr>
          <w:rFonts w:eastAsiaTheme="minorEastAsia"/>
        </w:rPr>
      </w:pPr>
      <w:r w:rsidRPr="00E85B70">
        <w:rPr>
          <w:rFonts w:eastAsia="Arial"/>
        </w:rPr>
        <w:t>High diabetes prevalence (15.4% of population) and limited access to optimal care and education</w:t>
      </w:r>
      <w:r w:rsidRPr="00E85B70">
        <w:rPr>
          <w:rStyle w:val="FootnoteReference"/>
          <w:rFonts w:ascii="Arial" w:eastAsia="Arial" w:hAnsi="Arial" w:cs="Arial"/>
        </w:rPr>
        <w:footnoteReference w:id="13"/>
      </w:r>
      <w:r w:rsidRPr="00E85B70">
        <w:rPr>
          <w:rFonts w:eastAsia="Arial"/>
        </w:rPr>
        <w:t xml:space="preserve">. </w:t>
      </w:r>
    </w:p>
    <w:p w14:paraId="34555C77" w14:textId="76F5F2E4" w:rsidR="00D223D8" w:rsidRPr="00E85B70" w:rsidRDefault="00D223D8" w:rsidP="00FB1825">
      <w:pPr>
        <w:pStyle w:val="BodyText"/>
      </w:pPr>
      <w:r w:rsidRPr="00E85B70">
        <w:t>Vision im</w:t>
      </w:r>
      <w:r w:rsidR="00A950D0" w:rsidRPr="00E85B70">
        <w:t>p</w:t>
      </w:r>
      <w:r w:rsidRPr="00E85B70">
        <w:t xml:space="preserve">airment or blindness has a direct impact on a person’s ability to engage in work, education, self-care, and development – undermining efforts to engage in social and economic mobility. Investing in proven and cost-effective interventions to prevent and treat blindness, such as cataract surgery, opens the door to opportunity and prosperity and reduces the disabling impact of impairment. </w:t>
      </w:r>
    </w:p>
    <w:p w14:paraId="436B0FD9" w14:textId="4C336041" w:rsidR="00D223D8" w:rsidRPr="00E85B70" w:rsidRDefault="00D223D8" w:rsidP="00FB1825">
      <w:pPr>
        <w:pStyle w:val="BodyText"/>
      </w:pPr>
      <w:r w:rsidRPr="00E85B70">
        <w:t xml:space="preserve">In line with our development partnership with PNG, Australia should support the PNG healthcare system and its critical eye care services, disrupted through COVID19, to ensure that the 90% of vision loss that can be prevented and treated is. </w:t>
      </w:r>
    </w:p>
    <w:p w14:paraId="61D6F839" w14:textId="71F36415" w:rsidR="00D223D8" w:rsidRPr="00E85B70" w:rsidRDefault="00D223D8" w:rsidP="00FB1825">
      <w:pPr>
        <w:pStyle w:val="BodyText"/>
      </w:pPr>
      <w:r w:rsidRPr="00E85B70">
        <w:t>This investment will develop the workforce and enhance remote service delivery to address the current burden of vision loss and prevent escalating rates of avoidable blindness due to the COVID-19 pandemic.</w:t>
      </w:r>
      <w:r w:rsidRPr="00E85B70">
        <w:rPr>
          <w:vertAlign w:val="superscript"/>
        </w:rPr>
        <w:t>18</w:t>
      </w:r>
    </w:p>
    <w:p w14:paraId="0EFD8624" w14:textId="22974876" w:rsidR="00D223D8" w:rsidRPr="00E85B70" w:rsidRDefault="00D223D8" w:rsidP="00FB1825">
      <w:pPr>
        <w:pStyle w:val="BodyText"/>
      </w:pPr>
      <w:r w:rsidRPr="00E85B70">
        <w:lastRenderedPageBreak/>
        <w:t>The priority areas, identified by the PNG National Department of Health (and with an investment from the New Zealand Government of $16 million), include:</w:t>
      </w:r>
    </w:p>
    <w:p w14:paraId="2F0FC7FB" w14:textId="77777777" w:rsidR="00D223D8" w:rsidRPr="00E85B70" w:rsidRDefault="00D223D8" w:rsidP="00953779">
      <w:pPr>
        <w:pStyle w:val="ListBullet0"/>
        <w:rPr>
          <w:rFonts w:eastAsiaTheme="minorEastAsia"/>
        </w:rPr>
      </w:pPr>
      <w:r w:rsidRPr="00E85B70">
        <w:rPr>
          <w:rFonts w:eastAsia="Arial"/>
        </w:rPr>
        <w:t xml:space="preserve">Immediate investment in remote service delivery so that up to 160,000 people per year have their sight restored and can reach their full </w:t>
      </w:r>
      <w:proofErr w:type="gramStart"/>
      <w:r w:rsidRPr="00E85B70">
        <w:rPr>
          <w:rFonts w:eastAsia="Arial"/>
        </w:rPr>
        <w:t>potential;</w:t>
      </w:r>
      <w:proofErr w:type="gramEnd"/>
      <w:r w:rsidRPr="00E85B70">
        <w:rPr>
          <w:rFonts w:eastAsia="Arial"/>
        </w:rPr>
        <w:t xml:space="preserve"> and </w:t>
      </w:r>
    </w:p>
    <w:p w14:paraId="0B77A4CE" w14:textId="77777777" w:rsidR="00D223D8" w:rsidRPr="00E85B70" w:rsidRDefault="00D223D8" w:rsidP="00953779">
      <w:pPr>
        <w:pStyle w:val="ListBullet0"/>
        <w:rPr>
          <w:rFonts w:eastAsiaTheme="minorEastAsia"/>
        </w:rPr>
      </w:pPr>
      <w:r w:rsidRPr="00E85B70">
        <w:rPr>
          <w:rFonts w:eastAsia="Arial"/>
        </w:rPr>
        <w:t xml:space="preserve">The establishment of a sustainable purpose-built Centre of Excellence to train 24 local ophthalmologists and 4 optometrists as well as ophthalmic clinicians, community health workers and existing staff. This means the good work undertaken immediately can be sustained over the long term. </w:t>
      </w:r>
    </w:p>
    <w:p w14:paraId="2003C2B6" w14:textId="20C3ABD7" w:rsidR="001C4DAC" w:rsidRPr="00E85B70" w:rsidRDefault="00D223D8" w:rsidP="00FB1825">
      <w:pPr>
        <w:pStyle w:val="BodyText"/>
      </w:pPr>
      <w:r w:rsidRPr="00E85B70">
        <w:t xml:space="preserve">This proposal will leverage the deep expertise, resources, and local connections of Vision 2020 Australia members. Strong bilateral relations with PNG, extensive sector knowledge and experience, coupled with reliable data about the current challenges means we know where the gaps in eye health </w:t>
      </w:r>
      <w:proofErr w:type="spellStart"/>
      <w:r w:rsidRPr="00E85B70">
        <w:t>are</w:t>
      </w:r>
      <w:proofErr w:type="spellEnd"/>
      <w:r w:rsidRPr="00E85B70">
        <w:t xml:space="preserve"> and already have some of the key underpinnings for success. We can hit the ground running and have an immediate and sustainable impact on vision loss in PNG when it is appropriate to do so.</w:t>
      </w:r>
    </w:p>
    <w:p w14:paraId="224F003A" w14:textId="7E410903" w:rsidR="00D223D8" w:rsidRDefault="00D223D8" w:rsidP="001C4DAC">
      <w:pPr>
        <w:pStyle w:val="Heading1"/>
      </w:pPr>
      <w:bookmarkStart w:id="6" w:name="_Toc90376269"/>
      <w:r w:rsidRPr="00D223D8">
        <w:t>Increase the disability inclusion allocation in overseas development assistance</w:t>
      </w:r>
      <w:bookmarkEnd w:id="6"/>
      <w:r w:rsidRPr="73548420">
        <w:rPr>
          <w:rFonts w:ascii="Segoe UI" w:eastAsia="Segoe UI" w:hAnsi="Segoe UI" w:cs="Segoe UI"/>
          <w:color w:val="004B8D" w:themeColor="accent1"/>
          <w:sz w:val="18"/>
          <w:szCs w:val="18"/>
        </w:rPr>
        <w:t xml:space="preserve"> </w:t>
      </w:r>
    </w:p>
    <w:p w14:paraId="4BC886A3" w14:textId="77777777" w:rsidR="00D223D8" w:rsidRPr="00E84EDA" w:rsidRDefault="00D223D8" w:rsidP="00FB1825">
      <w:pPr>
        <w:pStyle w:val="BodyText"/>
        <w:rPr>
          <w:color w:val="004B8D" w:themeColor="accent1"/>
        </w:rPr>
      </w:pPr>
      <w:r w:rsidRPr="00E84EDA">
        <w:t>Provide an additional $14 million per annum for disability inclusion in Australia's aid program to ensure people living with disability are not left behind.</w:t>
      </w:r>
      <w:r w:rsidRPr="00E84EDA">
        <w:rPr>
          <w:color w:val="004B8D" w:themeColor="accent1"/>
        </w:rPr>
        <w:t xml:space="preserve"> </w:t>
      </w:r>
    </w:p>
    <w:p w14:paraId="66E205B0" w14:textId="77777777" w:rsidR="00D223D8" w:rsidRPr="00E84EDA" w:rsidRDefault="00D223D8" w:rsidP="00FB1825">
      <w:pPr>
        <w:pStyle w:val="BodyText"/>
      </w:pPr>
      <w:r w:rsidRPr="00E84EDA">
        <w:t>The COVID-19 pandemic has had a catastrophic impact on people with disabilities, including those who are blind or vision impaired, who are more susceptible to contracting the virus and experience barriers in accessing information, health services, supports, livelihoods, and social protection measures.</w:t>
      </w:r>
    </w:p>
    <w:p w14:paraId="08010F0D" w14:textId="77777777" w:rsidR="00D223D8" w:rsidRPr="00E84EDA" w:rsidRDefault="00D223D8" w:rsidP="00FB1825">
      <w:pPr>
        <w:pStyle w:val="BodyText"/>
      </w:pPr>
      <w:r w:rsidRPr="00E84EDA">
        <w:t>This has widened inequalities, pushed people and their families deeper into poverty and increased the rate of death.</w:t>
      </w:r>
    </w:p>
    <w:p w14:paraId="2BAB1E98" w14:textId="77777777" w:rsidR="00D223D8" w:rsidRPr="00E84EDA" w:rsidRDefault="00D223D8" w:rsidP="00FB1825">
      <w:pPr>
        <w:pStyle w:val="BodyText"/>
      </w:pPr>
      <w:r w:rsidRPr="00E84EDA">
        <w:t>Since 2015, Australia has been a global leader in championing disability-inclusive development as a core component of its aid program and international engagement.</w:t>
      </w:r>
    </w:p>
    <w:p w14:paraId="5EC181E3" w14:textId="73697EEF" w:rsidR="00D223D8" w:rsidRPr="00E84EDA" w:rsidRDefault="00D223D8" w:rsidP="00FB1825">
      <w:pPr>
        <w:pStyle w:val="BodyText"/>
      </w:pPr>
      <w:r w:rsidRPr="00E84EDA">
        <w:t>However, in the last two years there has been a drop in funding for disability inclusion in overseas development assistance. This financial year (2021-2022) alone, the budget has dropped 25% from $12.9 million to $9.6 million, at a time when people with disabilities are being pushed to the margins.</w:t>
      </w:r>
    </w:p>
    <w:p w14:paraId="40A0C50B" w14:textId="31378CD6" w:rsidR="00D223D8" w:rsidRPr="00E84EDA" w:rsidRDefault="00D223D8" w:rsidP="00FB1825">
      <w:pPr>
        <w:pStyle w:val="BodyText"/>
      </w:pPr>
      <w:r w:rsidRPr="00E84EDA">
        <w:t>Dwindling resources for inclusion in the aid program is excluding people with disability from COVID-19 planning and recovery efforts.</w:t>
      </w:r>
    </w:p>
    <w:p w14:paraId="72B42031" w14:textId="77777777" w:rsidR="00D223D8" w:rsidRPr="00E84EDA" w:rsidRDefault="00D223D8" w:rsidP="00FB1825">
      <w:pPr>
        <w:pStyle w:val="BodyText"/>
      </w:pPr>
      <w:r w:rsidRPr="00E84EDA">
        <w:t>To ensure this isn’t a continuing trend, Vision 2020 Australia is calling on the Australian Government to increase the central disability allocation to a minimum of $14 million per annum, representing just 0.35% of Australia’s total aid spend.</w:t>
      </w:r>
    </w:p>
    <w:p w14:paraId="0343F8E8" w14:textId="77777777" w:rsidR="00D223D8" w:rsidRPr="00E84EDA" w:rsidRDefault="00D223D8" w:rsidP="00FB1825">
      <w:pPr>
        <w:pStyle w:val="BodyText"/>
      </w:pPr>
      <w:r w:rsidRPr="00E84EDA">
        <w:t xml:space="preserve">A proactive focus on disability inclusion will help to break the cycle of poverty and disability. Establishing rehabilitation services, developing referral pathways, training health </w:t>
      </w:r>
      <w:r w:rsidRPr="00E84EDA">
        <w:lastRenderedPageBreak/>
        <w:t>care practitioners, building accessible infrastructure, raising awareness, and collecting data disaggregated by disability - in consultation with people with disability - helps to ensure that all eye health and vision care programs are accessible to everyone.</w:t>
      </w:r>
    </w:p>
    <w:p w14:paraId="48F4409C" w14:textId="1AD578A2" w:rsidR="00D223D8" w:rsidRPr="00345AEB" w:rsidRDefault="00D223D8" w:rsidP="00D223D8">
      <w:pPr>
        <w:pStyle w:val="Heading1"/>
      </w:pPr>
      <w:bookmarkStart w:id="7" w:name="_Toc90376270"/>
      <w:bookmarkStart w:id="8" w:name="_Toc81553429"/>
      <w:bookmarkStart w:id="9" w:name="_Toc81553480"/>
      <w:r w:rsidRPr="096BF6EC">
        <w:t xml:space="preserve">Eyes on </w:t>
      </w:r>
      <w:r>
        <w:t>Call</w:t>
      </w:r>
      <w:r w:rsidRPr="096BF6EC">
        <w:t xml:space="preserve">: Informed </w:t>
      </w:r>
      <w:r>
        <w:t>s</w:t>
      </w:r>
      <w:r w:rsidRPr="096BF6EC">
        <w:t xml:space="preserve">upport for </w:t>
      </w:r>
      <w:r>
        <w:t>p</w:t>
      </w:r>
      <w:r w:rsidRPr="096BF6EC">
        <w:t xml:space="preserve">eople who are </w:t>
      </w:r>
      <w:r>
        <w:t>b</w:t>
      </w:r>
      <w:r w:rsidRPr="096BF6EC">
        <w:t>lind or have low vision</w:t>
      </w:r>
      <w:bookmarkEnd w:id="7"/>
    </w:p>
    <w:p w14:paraId="5D5F835A" w14:textId="3B22CAE1" w:rsidR="00D223D8" w:rsidRDefault="00D223D8" w:rsidP="00FB1825">
      <w:pPr>
        <w:pStyle w:val="BodyText"/>
      </w:pPr>
      <w:r w:rsidRPr="096BF6EC">
        <w:t>Invest $5.04 million over 4 years to trial a just-in-time online or phone coaching service and develop online resources for disability and aged care workers and assessors.</w:t>
      </w:r>
    </w:p>
    <w:p w14:paraId="343EF601" w14:textId="77777777" w:rsidR="00D223D8" w:rsidRDefault="00D223D8" w:rsidP="00FB1825">
      <w:pPr>
        <w:pStyle w:val="BodyText"/>
      </w:pPr>
      <w:r>
        <w:t>Many people who acquire permanent vision loss have very little knowledge of the supports and training available that could allow them to remain independent and continue in many of the same activities they previously enjoyed.</w:t>
      </w:r>
    </w:p>
    <w:p w14:paraId="6E7043D3" w14:textId="77777777" w:rsidR="00D223D8" w:rsidRDefault="00D223D8" w:rsidP="00FB1825">
      <w:pPr>
        <w:pStyle w:val="BodyText"/>
      </w:pPr>
      <w:r>
        <w:t>The assessors who identify what supports people need, and the care workers who most frequently interact with them, are ideally placed to assist them, either by encouraging them to seek treatment, or connecting them to expert service providers and peer support.</w:t>
      </w:r>
    </w:p>
    <w:p w14:paraId="63E6F015" w14:textId="77777777" w:rsidR="00D223D8" w:rsidRDefault="00D223D8" w:rsidP="00FB1825">
      <w:pPr>
        <w:pStyle w:val="BodyText"/>
      </w:pPr>
      <w:r>
        <w:t xml:space="preserve">One of the keys to improving outcomes for people with vision loss is educating and supporting the care workforce, which was identified as a priority in </w:t>
      </w:r>
      <w:r w:rsidRPr="001D242F">
        <w:t>Australia’s Disability Strategy 2021–2031</w:t>
      </w:r>
      <w:r>
        <w:rPr>
          <w:rStyle w:val="FootnoteReference"/>
        </w:rPr>
        <w:footnoteReference w:id="14"/>
      </w:r>
      <w:r>
        <w:t>.</w:t>
      </w:r>
    </w:p>
    <w:p w14:paraId="2D954E57" w14:textId="77777777" w:rsidR="00D223D8" w:rsidRDefault="00D223D8" w:rsidP="00FB1825">
      <w:pPr>
        <w:pStyle w:val="BodyText"/>
      </w:pPr>
      <w:r>
        <w:t>Alongside existing resources and workforce training strategies, Vision 2020 Australia proposes the establishment of a complementary, ‘just-in-time’ response. Eyes on Call is an innovative, on-call eye health and vision coaching and support service for disability and aged care workers and assessors. The service will provide staff with phone and/or video call-based information and connect them to existing resources and training across the eye health and vision sector, with information and advice tailored to the specifics of the worker’s query or client.</w:t>
      </w:r>
    </w:p>
    <w:p w14:paraId="53EB2AFC" w14:textId="40CDEB1C" w:rsidR="00D223D8" w:rsidRPr="00936B47" w:rsidRDefault="00D223D8" w:rsidP="00FB1825">
      <w:pPr>
        <w:pStyle w:val="BodyText"/>
      </w:pPr>
      <w:r>
        <w:t xml:space="preserve">Eyes on Call would span areas such as common eye conditions, </w:t>
      </w:r>
      <w:proofErr w:type="gramStart"/>
      <w:r>
        <w:t>signs</w:t>
      </w:r>
      <w:proofErr w:type="gramEnd"/>
      <w:r>
        <w:t xml:space="preserve"> and symptoms, and how to minimise their impact, as well as referral and management options and other training and development/resources that may help enhance the assessment and/or care. This would ensure the support provided is timely, informed and involves appropriate services and technology.</w:t>
      </w:r>
    </w:p>
    <w:p w14:paraId="7FDCD50B" w14:textId="77777777" w:rsidR="00D223D8" w:rsidRDefault="00D223D8" w:rsidP="00FB1825">
      <w:pPr>
        <w:pStyle w:val="BodyText"/>
      </w:pPr>
      <w:r>
        <w:t>Under this proposal, Vision 2020 Australia would facilitate establishment of:</w:t>
      </w:r>
    </w:p>
    <w:p w14:paraId="55E5FC7C" w14:textId="77777777" w:rsidR="00D223D8" w:rsidRPr="00936B47" w:rsidRDefault="00D223D8" w:rsidP="00FB1825">
      <w:pPr>
        <w:pStyle w:val="BodyText"/>
        <w:numPr>
          <w:ilvl w:val="0"/>
          <w:numId w:val="22"/>
        </w:numPr>
      </w:pPr>
      <w:r>
        <w:t>The Eyes on Call hotline that any aged care, disability support worker, or assessor could contact during standard business hours across Australia.</w:t>
      </w:r>
    </w:p>
    <w:p w14:paraId="7313F3B1" w14:textId="77777777" w:rsidR="00D223D8" w:rsidRPr="00936B47" w:rsidRDefault="00D223D8" w:rsidP="00FB1825">
      <w:pPr>
        <w:pStyle w:val="BodyText"/>
        <w:numPr>
          <w:ilvl w:val="0"/>
          <w:numId w:val="22"/>
        </w:numPr>
      </w:pPr>
      <w:r w:rsidRPr="00936B47">
        <w:t>Referral of queries to eye sector organisations with specific expertise relevant to the worker’s queries and/or location</w:t>
      </w:r>
      <w:r>
        <w:t>.</w:t>
      </w:r>
    </w:p>
    <w:p w14:paraId="5F78B48D" w14:textId="77777777" w:rsidR="00D223D8" w:rsidRPr="00936B47" w:rsidRDefault="00D223D8" w:rsidP="00FB1825">
      <w:pPr>
        <w:pStyle w:val="BodyText"/>
        <w:numPr>
          <w:ilvl w:val="0"/>
          <w:numId w:val="22"/>
        </w:numPr>
      </w:pPr>
      <w:r w:rsidRPr="00936B47">
        <w:lastRenderedPageBreak/>
        <w:t>A follow up service for each call, to provide additional assistance and/or guidance and encourage skills enhancement in this important are</w:t>
      </w:r>
      <w:r>
        <w:t>a.</w:t>
      </w:r>
    </w:p>
    <w:p w14:paraId="34B36AC0" w14:textId="77777777" w:rsidR="00D223D8" w:rsidRPr="00936B47" w:rsidRDefault="00D223D8" w:rsidP="00FB1825">
      <w:pPr>
        <w:pStyle w:val="BodyText"/>
        <w:numPr>
          <w:ilvl w:val="0"/>
          <w:numId w:val="22"/>
        </w:numPr>
      </w:pPr>
      <w:r>
        <w:t>Development and provision of information and other resources relevant to the worker (and if provided, their employer) regarding common eye conditions, key information relevant to the care context and contacts for sourcing local eye care services.</w:t>
      </w:r>
    </w:p>
    <w:p w14:paraId="6213264F" w14:textId="77777777" w:rsidR="00D223D8" w:rsidRDefault="00D223D8" w:rsidP="00FB1825">
      <w:pPr>
        <w:pStyle w:val="BodyText"/>
        <w:numPr>
          <w:ilvl w:val="0"/>
          <w:numId w:val="22"/>
        </w:numPr>
      </w:pPr>
      <w:r w:rsidRPr="00936B47">
        <w:t>An evaluation project to quantify reach and impacts of the service.</w:t>
      </w:r>
    </w:p>
    <w:p w14:paraId="328968E8" w14:textId="77777777" w:rsidR="00D223D8" w:rsidRPr="00F536A6" w:rsidRDefault="00D223D8" w:rsidP="001C4DAC">
      <w:pPr>
        <w:pStyle w:val="Heading1"/>
      </w:pPr>
      <w:bookmarkStart w:id="10" w:name="_Toc90376271"/>
      <w:r w:rsidRPr="00F536A6">
        <w:t xml:space="preserve">Assistive Technology for </w:t>
      </w:r>
      <w:r>
        <w:t>o</w:t>
      </w:r>
      <w:r w:rsidRPr="00F536A6">
        <w:t xml:space="preserve">lder </w:t>
      </w:r>
      <w:r>
        <w:t>A</w:t>
      </w:r>
      <w:r w:rsidRPr="00F536A6">
        <w:t xml:space="preserve">ustralians with </w:t>
      </w:r>
      <w:r>
        <w:t>v</w:t>
      </w:r>
      <w:r w:rsidRPr="00F536A6">
        <w:t xml:space="preserve">ision </w:t>
      </w:r>
      <w:r>
        <w:t>l</w:t>
      </w:r>
      <w:r w:rsidRPr="00F536A6">
        <w:t>oss</w:t>
      </w:r>
      <w:bookmarkEnd w:id="10"/>
    </w:p>
    <w:p w14:paraId="5C8A49B9" w14:textId="77777777" w:rsidR="00D223D8" w:rsidRPr="00C1748A" w:rsidRDefault="00D223D8" w:rsidP="00FB1825">
      <w:pPr>
        <w:pStyle w:val="BodyText"/>
      </w:pPr>
      <w:r w:rsidRPr="00C1748A">
        <w:t>Fund a national, harmonised scheme to provide Assistive Technology to older Australians with disabilities including vision loss</w:t>
      </w:r>
      <w:r>
        <w:t>.</w:t>
      </w:r>
    </w:p>
    <w:p w14:paraId="403B15F3" w14:textId="77777777" w:rsidR="00D223D8" w:rsidRDefault="00D223D8" w:rsidP="00FB1825">
      <w:pPr>
        <w:pStyle w:val="BodyText"/>
      </w:pPr>
      <w:r>
        <w:t>There are around 200,000 Australians over the age of 65 who are blind or have significant low vision. These people can often remain independent and continue living safely at home through the provision of a variety of Assistive Technology (AT).</w:t>
      </w:r>
    </w:p>
    <w:p w14:paraId="35C5D9A7" w14:textId="36C1750D" w:rsidR="00D223D8" w:rsidRDefault="00D223D8" w:rsidP="00FB1825">
      <w:pPr>
        <w:pStyle w:val="BodyText"/>
      </w:pPr>
      <w:r>
        <w:t>For mild vision loss, relatively low-cost optical magnifiers can allow people to, for example, read medication labels, food expiry dates, and essential correspondence independently.</w:t>
      </w:r>
    </w:p>
    <w:p w14:paraId="023BB55C" w14:textId="77777777" w:rsidR="00D223D8" w:rsidRDefault="00D223D8" w:rsidP="00FB1825">
      <w:pPr>
        <w:pStyle w:val="BodyText"/>
      </w:pPr>
      <w:r>
        <w:t>For more significant vision loss, use of specialised software to read screens, portable equipment that speaks printed material, and mobility aids can enable people who are blind or have low vision to safely leave their homes.</w:t>
      </w:r>
    </w:p>
    <w:p w14:paraId="47A94E28" w14:textId="77777777" w:rsidR="00D223D8" w:rsidRPr="00A852B3" w:rsidRDefault="00D223D8" w:rsidP="00D223D8">
      <w:pPr>
        <w:spacing w:before="80" w:after="80"/>
        <w:rPr>
          <w:sz w:val="22"/>
        </w:rPr>
      </w:pPr>
      <w:r w:rsidRPr="00A852B3">
        <w:rPr>
          <w:sz w:val="22"/>
        </w:rPr>
        <w:t>But currently, people outside the NDIS are missing out on this vital equipment, leading to higher risk of falls, hip fractures, and entry into residential care. This is because:</w:t>
      </w:r>
    </w:p>
    <w:p w14:paraId="4528362A" w14:textId="77777777" w:rsidR="00D223D8" w:rsidRPr="00A852B3" w:rsidRDefault="00D223D8" w:rsidP="00FA0B48">
      <w:pPr>
        <w:pStyle w:val="ListParagraph0"/>
        <w:numPr>
          <w:ilvl w:val="0"/>
          <w:numId w:val="24"/>
        </w:numPr>
        <w:spacing w:before="80" w:after="80"/>
        <w:rPr>
          <w:sz w:val="22"/>
          <w:szCs w:val="22"/>
        </w:rPr>
      </w:pPr>
      <w:r w:rsidRPr="00A852B3">
        <w:rPr>
          <w:sz w:val="22"/>
          <w:szCs w:val="22"/>
        </w:rPr>
        <w:t xml:space="preserve">The current Commonwealth Home Support Program (CHSP) and residential care system settings don’t provide sufficient funding for </w:t>
      </w:r>
      <w:proofErr w:type="gramStart"/>
      <w:r w:rsidRPr="00A852B3">
        <w:rPr>
          <w:sz w:val="22"/>
          <w:szCs w:val="22"/>
        </w:rPr>
        <w:t>AT;</w:t>
      </w:r>
      <w:proofErr w:type="gramEnd"/>
    </w:p>
    <w:p w14:paraId="32B2CDBD" w14:textId="77777777" w:rsidR="00D223D8" w:rsidRPr="00A852B3" w:rsidRDefault="00D223D8" w:rsidP="00FA0B48">
      <w:pPr>
        <w:pStyle w:val="ListParagraph0"/>
        <w:numPr>
          <w:ilvl w:val="0"/>
          <w:numId w:val="24"/>
        </w:numPr>
        <w:spacing w:before="80" w:after="80"/>
        <w:rPr>
          <w:sz w:val="22"/>
          <w:szCs w:val="22"/>
        </w:rPr>
      </w:pPr>
      <w:r w:rsidRPr="00A852B3">
        <w:rPr>
          <w:sz w:val="22"/>
          <w:szCs w:val="22"/>
        </w:rPr>
        <w:t xml:space="preserve">Long waiting lists for Home Care packages often make them inefficient for delivering </w:t>
      </w:r>
      <w:proofErr w:type="gramStart"/>
      <w:r w:rsidRPr="00A852B3">
        <w:rPr>
          <w:sz w:val="22"/>
          <w:szCs w:val="22"/>
        </w:rPr>
        <w:t>A</w:t>
      </w:r>
      <w:r>
        <w:rPr>
          <w:sz w:val="22"/>
          <w:szCs w:val="22"/>
        </w:rPr>
        <w:t>T</w:t>
      </w:r>
      <w:r w:rsidRPr="00A852B3">
        <w:rPr>
          <w:sz w:val="22"/>
          <w:szCs w:val="22"/>
        </w:rPr>
        <w:t>;</w:t>
      </w:r>
      <w:proofErr w:type="gramEnd"/>
    </w:p>
    <w:p w14:paraId="108B9565" w14:textId="77777777" w:rsidR="00D223D8" w:rsidRPr="00A852B3" w:rsidRDefault="00D223D8" w:rsidP="00FA0B48">
      <w:pPr>
        <w:pStyle w:val="ListParagraph0"/>
        <w:numPr>
          <w:ilvl w:val="0"/>
          <w:numId w:val="24"/>
        </w:numPr>
        <w:spacing w:before="80" w:after="80"/>
        <w:rPr>
          <w:sz w:val="22"/>
          <w:szCs w:val="22"/>
        </w:rPr>
      </w:pPr>
      <w:r w:rsidRPr="00A852B3">
        <w:rPr>
          <w:sz w:val="22"/>
          <w:szCs w:val="22"/>
        </w:rPr>
        <w:t>The 65 state</w:t>
      </w:r>
      <w:r>
        <w:rPr>
          <w:sz w:val="22"/>
          <w:szCs w:val="22"/>
        </w:rPr>
        <w:t>/</w:t>
      </w:r>
      <w:r w:rsidRPr="00A852B3">
        <w:rPr>
          <w:sz w:val="22"/>
          <w:szCs w:val="22"/>
        </w:rPr>
        <w:t>territory based AT programs are difficult to navigate</w:t>
      </w:r>
      <w:r>
        <w:rPr>
          <w:sz w:val="22"/>
          <w:szCs w:val="22"/>
        </w:rPr>
        <w:t xml:space="preserve"> f</w:t>
      </w:r>
      <w:r w:rsidRPr="00A852B3">
        <w:rPr>
          <w:sz w:val="22"/>
          <w:szCs w:val="22"/>
        </w:rPr>
        <w:t>or both consumers and service providers and provide inconsistent levels of funding and equipment.</w:t>
      </w:r>
    </w:p>
    <w:p w14:paraId="55EEECFA" w14:textId="36B4526F" w:rsidR="00D223D8" w:rsidRDefault="00D223D8" w:rsidP="00FB1825">
      <w:pPr>
        <w:pStyle w:val="BodyText"/>
      </w:pPr>
      <w:r>
        <w:t xml:space="preserve">The introduction of AT in early vision loss significantly reduces the risk of adverse outcomes and is a good return on investment – with </w:t>
      </w:r>
      <w:r w:rsidRPr="002A16A3">
        <w:t xml:space="preserve">every dollar spent </w:t>
      </w:r>
      <w:r>
        <w:t>returning</w:t>
      </w:r>
      <w:r w:rsidRPr="002A16A3">
        <w:t xml:space="preserve"> between $3.90 and $25.63</w:t>
      </w:r>
      <w:r>
        <w:rPr>
          <w:rStyle w:val="FootnoteReference"/>
        </w:rPr>
        <w:footnoteReference w:id="15"/>
      </w:r>
      <w:r>
        <w:t>.</w:t>
      </w:r>
    </w:p>
    <w:p w14:paraId="4A060FE2" w14:textId="14F9A5D5" w:rsidR="00D223D8" w:rsidRDefault="00D223D8" w:rsidP="00FB1825">
      <w:pPr>
        <w:pStyle w:val="BodyText"/>
      </w:pPr>
      <w:r>
        <w:t>Vision 2020 Australia welcomes the inclusion of the importance of people with disability being supported to access assistive technology in Australia's Disability Strategy 2021-2031</w:t>
      </w:r>
      <w:r>
        <w:rPr>
          <w:rStyle w:val="FootnoteReference"/>
        </w:rPr>
        <w:footnoteReference w:id="16"/>
      </w:r>
      <w:r>
        <w:t xml:space="preserve">. We add our voice to the Assistive Technology for All campaign and support the call for the introduction of a nationally consistent, harmonised scheme to deliver AT to </w:t>
      </w:r>
      <w:r>
        <w:lastRenderedPageBreak/>
        <w:t>people who are blind or have low vision. This would align with Recommendation 72 from the final report by the Royal Commission into Aged Care Quality and Safety.</w:t>
      </w:r>
      <w:r>
        <w:rPr>
          <w:rStyle w:val="FootnoteReference"/>
        </w:rPr>
        <w:footnoteReference w:id="17"/>
      </w:r>
    </w:p>
    <w:p w14:paraId="659C1B81" w14:textId="77777777" w:rsidR="00D223D8" w:rsidRDefault="00D223D8" w:rsidP="00FB1825">
      <w:pPr>
        <w:pStyle w:val="BodyText"/>
      </w:pPr>
      <w:r>
        <w:t>The proposed national AT program would:</w:t>
      </w:r>
    </w:p>
    <w:p w14:paraId="30D80BDD" w14:textId="77777777" w:rsidR="00D223D8" w:rsidRDefault="00D223D8" w:rsidP="00FB1825">
      <w:pPr>
        <w:pStyle w:val="BodyText"/>
        <w:numPr>
          <w:ilvl w:val="0"/>
          <w:numId w:val="24"/>
        </w:numPr>
      </w:pPr>
      <w:r>
        <w:t xml:space="preserve">Harmonise existing state-based AT programs and those operated by not-for-profit </w:t>
      </w:r>
      <w:proofErr w:type="gramStart"/>
      <w:r>
        <w:t>organisations;</w:t>
      </w:r>
      <w:proofErr w:type="gramEnd"/>
    </w:p>
    <w:p w14:paraId="6B4BFB9E" w14:textId="77777777" w:rsidR="00D223D8" w:rsidRDefault="00D223D8" w:rsidP="00FB1825">
      <w:pPr>
        <w:pStyle w:val="BodyText"/>
        <w:numPr>
          <w:ilvl w:val="0"/>
          <w:numId w:val="24"/>
        </w:numPr>
      </w:pPr>
      <w:r>
        <w:t xml:space="preserve">Be underpinned by an AT strategy, such as the one in place in the NDIS, which recognises the value of providing assistive technology to support and enhance a </w:t>
      </w:r>
      <w:proofErr w:type="spellStart"/>
      <w:proofErr w:type="gramStart"/>
      <w:r>
        <w:t>persons</w:t>
      </w:r>
      <w:proofErr w:type="spellEnd"/>
      <w:proofErr w:type="gramEnd"/>
      <w:r>
        <w:t xml:space="preserve"> independence, and;</w:t>
      </w:r>
    </w:p>
    <w:p w14:paraId="5D00D089" w14:textId="77777777" w:rsidR="00D223D8" w:rsidRDefault="00D223D8" w:rsidP="00FB1825">
      <w:pPr>
        <w:pStyle w:val="BodyText"/>
        <w:numPr>
          <w:ilvl w:val="0"/>
          <w:numId w:val="24"/>
        </w:numPr>
      </w:pPr>
      <w:r>
        <w:t>Be driven by key performance indicators relating to the timely provision of assistive technology, in line with the aspirations of the NDIS Participant Service Guarantee.</w:t>
      </w:r>
    </w:p>
    <w:p w14:paraId="034D0698" w14:textId="77777777" w:rsidR="00D223D8" w:rsidRDefault="00D223D8" w:rsidP="00FB1825">
      <w:pPr>
        <w:pStyle w:val="BodyText"/>
      </w:pPr>
      <w:r>
        <w:t>The campaign is supported by more than 40 organisations representing people with disabilities in Australia.</w:t>
      </w:r>
    </w:p>
    <w:p w14:paraId="28063DBF" w14:textId="3C6A15AC" w:rsidR="00D223D8" w:rsidRPr="0066019C" w:rsidRDefault="00D223D8" w:rsidP="001C4DAC">
      <w:pPr>
        <w:pStyle w:val="Heading1"/>
      </w:pPr>
      <w:bookmarkStart w:id="11" w:name="_Toc90376272"/>
      <w:r w:rsidRPr="0066019C">
        <w:t>Streamlined Access for Children with Vision Loss</w:t>
      </w:r>
      <w:bookmarkEnd w:id="11"/>
    </w:p>
    <w:p w14:paraId="127BA36D" w14:textId="77777777" w:rsidR="00D223D8" w:rsidRDefault="00D223D8" w:rsidP="00FB1825">
      <w:pPr>
        <w:pStyle w:val="BodyText"/>
      </w:pPr>
      <w:r>
        <w:t xml:space="preserve">Introduce packages for children with vision loss entering the NDIS, </w:t>
      </w:r>
      <w:proofErr w:type="gramStart"/>
      <w:r>
        <w:t>similar to</w:t>
      </w:r>
      <w:proofErr w:type="gramEnd"/>
      <w:r>
        <w:t xml:space="preserve"> those which already exist for children with hearing loss.</w:t>
      </w:r>
    </w:p>
    <w:p w14:paraId="2C395AAD" w14:textId="77777777" w:rsidR="00D223D8" w:rsidRDefault="00D223D8" w:rsidP="00FB1825">
      <w:pPr>
        <w:pStyle w:val="BodyText"/>
      </w:pPr>
      <w:r>
        <w:t>Service providers contend that for children with vision loss, it’s vital that supports be introduced as early as possible. Currently however, system settings for Early Childhood mean many children don’t receive timely access to supports, because:</w:t>
      </w:r>
    </w:p>
    <w:p w14:paraId="2F585CAA" w14:textId="77777777" w:rsidR="00D223D8" w:rsidRDefault="00D223D8" w:rsidP="004028A4">
      <w:pPr>
        <w:pStyle w:val="ListBullet0"/>
      </w:pPr>
      <w:r>
        <w:t xml:space="preserve">Diagnostic criteria for vision loss are strict. Diagnosis can be difficult for vision conditions at an early age, and conditions which will lead to deterioration in vision are not easy to account </w:t>
      </w:r>
      <w:proofErr w:type="gramStart"/>
      <w:r>
        <w:t>for;</w:t>
      </w:r>
      <w:proofErr w:type="gramEnd"/>
    </w:p>
    <w:p w14:paraId="6BE7B9FA" w14:textId="77777777" w:rsidR="00D223D8" w:rsidRDefault="00D223D8" w:rsidP="004028A4">
      <w:pPr>
        <w:pStyle w:val="ListBullet0"/>
      </w:pPr>
      <w:r>
        <w:t xml:space="preserve">The eligibility criteria of developmental delay can’t easily be demonstrated in young children, meaning some families are asked to reapply when developmental delay is </w:t>
      </w:r>
      <w:proofErr w:type="gramStart"/>
      <w:r>
        <w:t>apparent;</w:t>
      </w:r>
      <w:proofErr w:type="gramEnd"/>
    </w:p>
    <w:p w14:paraId="33D68BF4" w14:textId="77777777" w:rsidR="00D223D8" w:rsidRDefault="00D223D8" w:rsidP="004028A4">
      <w:pPr>
        <w:pStyle w:val="ListBullet0"/>
      </w:pPr>
      <w:r>
        <w:t>Knowledge regarding available vision supports and the ideal approach for children is inconsistent among NDIS planners and assessors.</w:t>
      </w:r>
    </w:p>
    <w:p w14:paraId="48C3EB47" w14:textId="77777777" w:rsidR="00D223D8" w:rsidRDefault="00D223D8" w:rsidP="00FB1825">
      <w:pPr>
        <w:pStyle w:val="BodyText"/>
      </w:pPr>
      <w:r>
        <w:t>The NDIA has collaborated with people who are Deaf or have hearing loss on developing a hearing pathway which ensures children with hearing loss get earlier access to vital supports as early as possible. This pathway:</w:t>
      </w:r>
    </w:p>
    <w:p w14:paraId="1F25E241" w14:textId="77777777" w:rsidR="00D223D8" w:rsidRDefault="00D223D8" w:rsidP="004028A4">
      <w:pPr>
        <w:pStyle w:val="ListNumber"/>
      </w:pPr>
      <w:r>
        <w:t>Prioritises early intervention, and</w:t>
      </w:r>
    </w:p>
    <w:p w14:paraId="0B659AD4" w14:textId="77777777" w:rsidR="00D223D8" w:rsidRDefault="00D223D8" w:rsidP="004028A4">
      <w:pPr>
        <w:pStyle w:val="ListNumber"/>
      </w:pPr>
      <w:r>
        <w:t>Specifies “packages” of services and supports to be delivered, which have been agreed by experienced service providers.</w:t>
      </w:r>
    </w:p>
    <w:p w14:paraId="53F167DE" w14:textId="77777777" w:rsidR="00D223D8" w:rsidRDefault="00D223D8" w:rsidP="00FB1825">
      <w:pPr>
        <w:pStyle w:val="BodyText"/>
      </w:pPr>
      <w:r>
        <w:lastRenderedPageBreak/>
        <w:t xml:space="preserve">Vision 2020 Australia calls for the NDIA to work with its members, which include service providers, </w:t>
      </w:r>
      <w:proofErr w:type="gramStart"/>
      <w:r>
        <w:t>clinicians</w:t>
      </w:r>
      <w:proofErr w:type="gramEnd"/>
      <w:r>
        <w:t xml:space="preserve"> and peer advocacy organisations, to deliver a similar arrangement for children who have vision loss. This pathway will:</w:t>
      </w:r>
    </w:p>
    <w:p w14:paraId="6F2A99F8" w14:textId="77777777" w:rsidR="00D223D8" w:rsidRDefault="00D223D8" w:rsidP="004028A4">
      <w:pPr>
        <w:pStyle w:val="ListBullet0"/>
      </w:pPr>
      <w:r>
        <w:t>Implement, as early as possible, a range of crucial supports, including occupational therapy, orientation and mobility training, and Assistive Technology,</w:t>
      </w:r>
    </w:p>
    <w:p w14:paraId="5061B5A1" w14:textId="77777777" w:rsidR="00D223D8" w:rsidRDefault="00D223D8" w:rsidP="004028A4">
      <w:pPr>
        <w:pStyle w:val="ListBullet0"/>
      </w:pPr>
      <w:r w:rsidRPr="005827BC">
        <w:t>Aim to prevent, rather than address, developmental delay</w:t>
      </w:r>
      <w:r>
        <w:t>, and</w:t>
      </w:r>
    </w:p>
    <w:p w14:paraId="410D3F64" w14:textId="16A9F479" w:rsidR="00D223D8" w:rsidRDefault="00D223D8" w:rsidP="004028A4">
      <w:pPr>
        <w:pStyle w:val="ListBullet0"/>
      </w:pPr>
      <w:r w:rsidRPr="005827BC">
        <w:t>Align with Australia’s Disability Strategy 2021-2031</w:t>
      </w:r>
      <w:r w:rsidRPr="005827BC">
        <w:rPr>
          <w:rStyle w:val="FootnoteReference"/>
        </w:rPr>
        <w:footnoteReference w:id="18"/>
      </w:r>
      <w:r w:rsidRPr="005827BC">
        <w:t xml:space="preserve"> in ensuring children with disability can access and participate in high-quality early childhood education and care.</w:t>
      </w:r>
    </w:p>
    <w:p w14:paraId="7325298C" w14:textId="77777777" w:rsidR="00D223D8" w:rsidRDefault="00D223D8" w:rsidP="001C4DAC">
      <w:pPr>
        <w:pStyle w:val="Heading1"/>
      </w:pPr>
      <w:bookmarkStart w:id="12" w:name="_Toc90376273"/>
      <w:r w:rsidRPr="00C1335E">
        <w:t>Securing Audio Description on Australian TV</w:t>
      </w:r>
      <w:bookmarkEnd w:id="12"/>
    </w:p>
    <w:p w14:paraId="73B7D62B" w14:textId="1997F25C" w:rsidR="00D223D8" w:rsidRPr="00D56DF1" w:rsidRDefault="00D223D8" w:rsidP="00FB1825">
      <w:pPr>
        <w:pStyle w:val="BodyText"/>
      </w:pPr>
      <w:r>
        <w:t xml:space="preserve">Amend the Broadcasting Services Act to legally require the provision of </w:t>
      </w:r>
      <w:r w:rsidRPr="39F58BFC">
        <w:t>Audio Description on free-to-air TV</w:t>
      </w:r>
      <w:r w:rsidR="00F21224">
        <w:t>.</w:t>
      </w:r>
    </w:p>
    <w:p w14:paraId="6EA028A1" w14:textId="77777777" w:rsidR="00D223D8" w:rsidRDefault="00D223D8" w:rsidP="00FB1825">
      <w:pPr>
        <w:pStyle w:val="BodyText"/>
      </w:pPr>
      <w:r>
        <w:t>Audio Description is a service which provides information about on-screen content to people who are blind or have low vision, through a narration track which interjects between dialogue.</w:t>
      </w:r>
    </w:p>
    <w:p w14:paraId="11438FD1" w14:textId="77777777" w:rsidR="00D223D8" w:rsidRDefault="00D223D8" w:rsidP="00FB1825">
      <w:pPr>
        <w:pStyle w:val="BodyText"/>
      </w:pPr>
      <w:r>
        <w:t>Access to Audio Description is about more than entertainment. If a person who is blind or has low vision can’t enjoy the same programs as the rest of society, they are less likely to be included in conversation and community. Audio Description can provide potentially life-saving information which is usually only delivered as text (</w:t>
      </w:r>
      <w:proofErr w:type="gramStart"/>
      <w:r>
        <w:t>e.g.</w:t>
      </w:r>
      <w:proofErr w:type="gramEnd"/>
      <w:r>
        <w:t xml:space="preserve"> mental health hotlines, emergency information).</w:t>
      </w:r>
    </w:p>
    <w:p w14:paraId="67F10AFB" w14:textId="75397D4C" w:rsidR="00D223D8" w:rsidRDefault="00D223D8" w:rsidP="00FB1825">
      <w:pPr>
        <w:pStyle w:val="BodyText"/>
      </w:pPr>
      <w:r>
        <w:t>Article 30 of the United Nations’ Convention on the Rights of Persons with a Disability</w:t>
      </w:r>
      <w:r>
        <w:rPr>
          <w:rStyle w:val="FootnoteReference"/>
        </w:rPr>
        <w:footnoteReference w:id="19"/>
      </w:r>
      <w:r>
        <w:t>, to which Australia is a signatory, says that governments should recognise the right to “enjoy access to television programmes, films, theatre and other cultural activities, in accessible formats”.</w:t>
      </w:r>
    </w:p>
    <w:p w14:paraId="253F3905" w14:textId="77777777" w:rsidR="00D223D8" w:rsidRDefault="00D223D8" w:rsidP="00FB1825">
      <w:pPr>
        <w:pStyle w:val="BodyText"/>
      </w:pPr>
      <w:r>
        <w:t xml:space="preserve">Vision 2020 Australia acknowledges the investment of $4 million in the 2020/21 financial year to help the ABC and SBS deliver Audio Description. But there is no legal requirement for any TV network to deliver any amount of described content – a requirement enforced in the US, UK, </w:t>
      </w:r>
      <w:proofErr w:type="gramStart"/>
      <w:r>
        <w:t>Canada</w:t>
      </w:r>
      <w:proofErr w:type="gramEnd"/>
      <w:r>
        <w:t xml:space="preserve"> and New Zealand.  Amendment to the Broadcasting Services Act, </w:t>
      </w:r>
      <w:proofErr w:type="gramStart"/>
      <w:r>
        <w:t>similar to</w:t>
      </w:r>
      <w:proofErr w:type="gramEnd"/>
      <w:r>
        <w:t xml:space="preserve"> the legal mandate which has required provision of closed captions for people who are Deaf or hard of hearing since 1998, will be needed to require free to air TV to provide audio description.</w:t>
      </w:r>
    </w:p>
    <w:p w14:paraId="057B35A2" w14:textId="77777777" w:rsidR="00D223D8" w:rsidRDefault="00D223D8" w:rsidP="00FB1825">
      <w:pPr>
        <w:pStyle w:val="BodyText"/>
      </w:pPr>
      <w:r>
        <w:t>This amendment would:</w:t>
      </w:r>
    </w:p>
    <w:p w14:paraId="62C53FE5" w14:textId="686CEB33" w:rsidR="00D223D8" w:rsidRDefault="00D223D8" w:rsidP="004028A4">
      <w:pPr>
        <w:pStyle w:val="ListNumber"/>
        <w:numPr>
          <w:ilvl w:val="0"/>
          <w:numId w:val="28"/>
        </w:numPr>
      </w:pPr>
      <w:r>
        <w:t>Require all free-to-air TV channels to provide a minimum amount of Audio Description per week. This amount would be set at:</w:t>
      </w:r>
    </w:p>
    <w:p w14:paraId="44312F4C" w14:textId="77777777" w:rsidR="00D223D8" w:rsidRDefault="00D223D8" w:rsidP="004028A4">
      <w:pPr>
        <w:pStyle w:val="ListNumber2"/>
      </w:pPr>
      <w:r>
        <w:lastRenderedPageBreak/>
        <w:t>14 hours per week in the first three years following implementation</w:t>
      </w:r>
    </w:p>
    <w:p w14:paraId="2DF06129" w14:textId="77777777" w:rsidR="00D223D8" w:rsidRDefault="00D223D8" w:rsidP="004028A4">
      <w:pPr>
        <w:pStyle w:val="ListNumber2"/>
      </w:pPr>
      <w:r>
        <w:t>21 hours per week in the fourth year following implementation and</w:t>
      </w:r>
    </w:p>
    <w:p w14:paraId="79CC209B" w14:textId="77777777" w:rsidR="00D223D8" w:rsidRDefault="00D223D8" w:rsidP="004028A4">
      <w:pPr>
        <w:pStyle w:val="ListNumber2"/>
      </w:pPr>
      <w:r>
        <w:t>28 hours per week from the fifth year following implementation.</w:t>
      </w:r>
    </w:p>
    <w:p w14:paraId="270BDBC9" w14:textId="77777777" w:rsidR="00D223D8" w:rsidRDefault="00D223D8" w:rsidP="004028A4">
      <w:pPr>
        <w:pStyle w:val="ListNumber"/>
      </w:pPr>
      <w:r>
        <w:t xml:space="preserve">Set quality standards for the provision of Audio Description, </w:t>
      </w:r>
      <w:proofErr w:type="gramStart"/>
      <w:r>
        <w:t>similar to</w:t>
      </w:r>
      <w:proofErr w:type="gramEnd"/>
      <w:r>
        <w:t xml:space="preserve"> those provided in the UK.</w:t>
      </w:r>
    </w:p>
    <w:p w14:paraId="0CFB8311" w14:textId="77777777" w:rsidR="00D223D8" w:rsidRDefault="00D223D8" w:rsidP="004028A4">
      <w:pPr>
        <w:pStyle w:val="ListNumber"/>
      </w:pPr>
      <w:r>
        <w:t>Require Audio Description that is broadcast on live television to also be available for on-demand or catch-up viewing.</w:t>
      </w:r>
    </w:p>
    <w:p w14:paraId="27DFDCDF" w14:textId="77777777" w:rsidR="00D223D8" w:rsidRPr="005425F0" w:rsidRDefault="00D223D8" w:rsidP="004028A4">
      <w:pPr>
        <w:pStyle w:val="ListNumber"/>
      </w:pPr>
      <w:r w:rsidRPr="005425F0">
        <w:t>Align with Australia’s Disability Strategy 2021-2023</w:t>
      </w:r>
      <w:r>
        <w:rPr>
          <w:rStyle w:val="FootnoteReference"/>
        </w:rPr>
        <w:footnoteReference w:id="20"/>
      </w:r>
      <w:r w:rsidRPr="005425F0">
        <w:t xml:space="preserve"> in ensuring people with disability </w:t>
      </w:r>
      <w:proofErr w:type="gramStart"/>
      <w:r w:rsidRPr="005425F0">
        <w:t>are able to</w:t>
      </w:r>
      <w:proofErr w:type="gramEnd"/>
      <w:r w:rsidRPr="005425F0">
        <w:t xml:space="preserve"> fully participate in cultural life</w:t>
      </w:r>
      <w:r>
        <w:t xml:space="preserve"> and i</w:t>
      </w:r>
      <w:r w:rsidRPr="005425F0">
        <w:t>nformation and communication systems are accessible, reliable and responsive</w:t>
      </w:r>
      <w:r>
        <w:t>.</w:t>
      </w:r>
    </w:p>
    <w:p w14:paraId="33F591AA" w14:textId="0A43852C" w:rsidR="00D223D8" w:rsidRPr="009D6B68" w:rsidRDefault="00D223D8" w:rsidP="001C4DAC">
      <w:pPr>
        <w:pStyle w:val="Heading1"/>
        <w:rPr>
          <w:rFonts w:ascii="Segoe UI" w:hAnsi="Segoe UI" w:cs="Segoe UI"/>
        </w:rPr>
      </w:pPr>
      <w:bookmarkStart w:id="13" w:name="_Toc90376274"/>
      <w:r w:rsidRPr="009D6B68">
        <w:rPr>
          <w:rStyle w:val="normaltextrun"/>
          <w:rFonts w:ascii="Arial" w:hAnsi="Arial"/>
          <w:color w:val="004B8D"/>
        </w:rPr>
        <w:t>Investment in Australian eye and vision research</w:t>
      </w:r>
      <w:bookmarkEnd w:id="13"/>
    </w:p>
    <w:p w14:paraId="6EE202D8" w14:textId="77777777" w:rsidR="00D223D8" w:rsidRPr="004028A4" w:rsidRDefault="00D223D8" w:rsidP="00FB1825">
      <w:pPr>
        <w:pStyle w:val="BodyText"/>
      </w:pPr>
      <w:r w:rsidRPr="004028A4">
        <w:rPr>
          <w:rStyle w:val="normaltextrun"/>
        </w:rPr>
        <w:t>Prevent avoidable vision loss and restore sight through the establishment of a dedicated vision mission within the Medical Research Future Fund of $150 million over 10 years</w:t>
      </w:r>
      <w:r w:rsidRPr="004028A4">
        <w:rPr>
          <w:rStyle w:val="eop"/>
        </w:rPr>
        <w:t>.</w:t>
      </w:r>
    </w:p>
    <w:p w14:paraId="1B1F62BA" w14:textId="3717405E" w:rsidR="00D223D8" w:rsidRPr="004028A4" w:rsidRDefault="00D223D8" w:rsidP="00FB1825">
      <w:pPr>
        <w:pStyle w:val="BodyText"/>
      </w:pPr>
      <w:r w:rsidRPr="004028A4">
        <w:rPr>
          <w:rStyle w:val="normaltextrun"/>
        </w:rPr>
        <w:t>Australia has some of the world’s leading vision researchers undertaking cutting edge research to prevent avoidable vision loss and improve outcomes for people living with blindness or low vision. Research underway includes:    </w:t>
      </w:r>
      <w:r w:rsidRPr="004028A4">
        <w:rPr>
          <w:rStyle w:val="eop"/>
        </w:rPr>
        <w:t> </w:t>
      </w:r>
    </w:p>
    <w:p w14:paraId="1E1B2CC0" w14:textId="000647FF" w:rsidR="00D223D8" w:rsidRPr="004028A4" w:rsidRDefault="004028A4" w:rsidP="004028A4">
      <w:pPr>
        <w:pStyle w:val="ListBullet0"/>
      </w:pPr>
      <w:r>
        <w:rPr>
          <w:rStyle w:val="normaltextrun"/>
        </w:rPr>
        <w:t>T</w:t>
      </w:r>
      <w:r w:rsidR="00D223D8" w:rsidRPr="004028A4">
        <w:rPr>
          <w:rStyle w:val="normaltextrun"/>
        </w:rPr>
        <w:t xml:space="preserve">he use of artificial intelligence to expand screening for eye </w:t>
      </w:r>
      <w:proofErr w:type="gramStart"/>
      <w:r w:rsidR="00D223D8" w:rsidRPr="004028A4">
        <w:rPr>
          <w:rStyle w:val="normaltextrun"/>
        </w:rPr>
        <w:t>disease;</w:t>
      </w:r>
      <w:proofErr w:type="gramEnd"/>
      <w:r w:rsidR="00D223D8" w:rsidRPr="004028A4">
        <w:rPr>
          <w:rStyle w:val="eop"/>
        </w:rPr>
        <w:t> </w:t>
      </w:r>
    </w:p>
    <w:p w14:paraId="1390778D" w14:textId="2B3A8FFF" w:rsidR="00D223D8" w:rsidRPr="004028A4" w:rsidRDefault="004028A4" w:rsidP="004028A4">
      <w:pPr>
        <w:pStyle w:val="ListBullet0"/>
      </w:pPr>
      <w:r>
        <w:rPr>
          <w:rStyle w:val="normaltextrun"/>
        </w:rPr>
        <w:t>O</w:t>
      </w:r>
      <w:r w:rsidR="00D223D8" w:rsidRPr="004028A4">
        <w:rPr>
          <w:rStyle w:val="normaltextrun"/>
        </w:rPr>
        <w:t xml:space="preserve">phthalmic testing to support the timely identification of chronic conditions such as dementia, cardiovascular and cerebrovascular </w:t>
      </w:r>
      <w:proofErr w:type="gramStart"/>
      <w:r w:rsidR="00D223D8" w:rsidRPr="004028A4">
        <w:rPr>
          <w:rStyle w:val="normaltextrun"/>
        </w:rPr>
        <w:t>disease;</w:t>
      </w:r>
      <w:proofErr w:type="gramEnd"/>
      <w:r w:rsidR="00D223D8" w:rsidRPr="004028A4">
        <w:rPr>
          <w:rStyle w:val="eop"/>
        </w:rPr>
        <w:t> </w:t>
      </w:r>
    </w:p>
    <w:p w14:paraId="28471FBC" w14:textId="6AAEB613" w:rsidR="00D223D8" w:rsidRPr="004028A4" w:rsidRDefault="004028A4" w:rsidP="004028A4">
      <w:pPr>
        <w:pStyle w:val="ListBullet0"/>
      </w:pPr>
      <w:r>
        <w:rPr>
          <w:rStyle w:val="normaltextrun"/>
        </w:rPr>
        <w:t>T</w:t>
      </w:r>
      <w:r w:rsidR="00D223D8" w:rsidRPr="004028A4">
        <w:rPr>
          <w:rStyle w:val="normaltextrun"/>
        </w:rPr>
        <w:t>he application of genomics to enhance diagnosis and treatment; and</w:t>
      </w:r>
      <w:r w:rsidR="00D223D8" w:rsidRPr="004028A4">
        <w:rPr>
          <w:rStyle w:val="eop"/>
        </w:rPr>
        <w:t> </w:t>
      </w:r>
    </w:p>
    <w:p w14:paraId="50A08C05" w14:textId="5029CB42" w:rsidR="00D223D8" w:rsidRPr="004028A4" w:rsidRDefault="004028A4" w:rsidP="004028A4">
      <w:pPr>
        <w:pStyle w:val="ListBullet0"/>
        <w:rPr>
          <w:rStyle w:val="normaltextrun"/>
        </w:rPr>
      </w:pPr>
      <w:r>
        <w:rPr>
          <w:rStyle w:val="normaltextrun"/>
        </w:rPr>
        <w:t>D</w:t>
      </w:r>
      <w:r w:rsidR="00D223D8" w:rsidRPr="004028A4">
        <w:rPr>
          <w:rStyle w:val="normaltextrun"/>
        </w:rPr>
        <w:t>evelopment of gene therapy and editing that can help restore sight both in Australia and abroad.</w:t>
      </w:r>
      <w:r w:rsidR="00D223D8" w:rsidRPr="004028A4">
        <w:rPr>
          <w:rStyle w:val="eop"/>
        </w:rPr>
        <w:t> </w:t>
      </w:r>
    </w:p>
    <w:p w14:paraId="3A286D7D" w14:textId="77777777" w:rsidR="00D223D8" w:rsidRPr="004028A4" w:rsidRDefault="00D223D8" w:rsidP="00FB1825">
      <w:pPr>
        <w:pStyle w:val="BodyText"/>
      </w:pPr>
      <w:r w:rsidRPr="004028A4">
        <w:t>In addition to this, The Lancet Global Health Commission</w:t>
      </w:r>
      <w:r w:rsidRPr="004028A4">
        <w:rPr>
          <w:rStyle w:val="FootnoteReference"/>
          <w:szCs w:val="24"/>
          <w:vertAlign w:val="baseline"/>
        </w:rPr>
        <w:footnoteReference w:id="21"/>
      </w:r>
      <w:r w:rsidRPr="004028A4">
        <w:t xml:space="preserve"> has described the connection between dementia, vision loss and other health issues impacting on older people. Local research is required to measure the extent of the impact on the Australian population.</w:t>
      </w:r>
    </w:p>
    <w:p w14:paraId="7AD2DFB2" w14:textId="46DF6809" w:rsidR="00D223D8" w:rsidRPr="004028A4" w:rsidRDefault="00D223D8" w:rsidP="00FB1825">
      <w:pPr>
        <w:pStyle w:val="BodyText"/>
        <w:rPr>
          <w:rStyle w:val="normaltextrun"/>
          <w:szCs w:val="24"/>
        </w:rPr>
      </w:pPr>
      <w:r w:rsidRPr="004028A4">
        <w:rPr>
          <w:rStyle w:val="normaltextrun"/>
          <w:szCs w:val="24"/>
        </w:rPr>
        <w:t>Australian researchers are well placed to develop and deliver pioneering treatments to prevent vision loss, restore sight and support people experiencing vision impairment or blindness.</w:t>
      </w:r>
    </w:p>
    <w:p w14:paraId="593741B5" w14:textId="616673AE" w:rsidR="00D223D8" w:rsidRPr="004028A4" w:rsidRDefault="00D223D8" w:rsidP="00FB1825">
      <w:pPr>
        <w:pStyle w:val="BodyText"/>
        <w:rPr>
          <w:rStyle w:val="normaltextrun"/>
          <w:szCs w:val="24"/>
        </w:rPr>
      </w:pPr>
      <w:r w:rsidRPr="004028A4">
        <w:rPr>
          <w:rStyle w:val="normaltextrun"/>
          <w:szCs w:val="24"/>
        </w:rPr>
        <w:t xml:space="preserve">While the development of new treatments and technologies is a win for individuals, investment in </w:t>
      </w:r>
      <w:r w:rsidRPr="004028A4">
        <w:t>clinical</w:t>
      </w:r>
      <w:r w:rsidRPr="004028A4">
        <w:rPr>
          <w:rStyle w:val="normaltextrun"/>
          <w:szCs w:val="24"/>
        </w:rPr>
        <w:t xml:space="preserve"> trials and the translation of pre-clinical innovations is essential to keep Australia, and its researchers at the leading edge. </w:t>
      </w:r>
    </w:p>
    <w:p w14:paraId="40179EB5" w14:textId="3988D08F" w:rsidR="00D223D8" w:rsidRPr="004028A4" w:rsidRDefault="00D223D8" w:rsidP="00FB1825">
      <w:pPr>
        <w:pStyle w:val="BodyText"/>
        <w:rPr>
          <w:rStyle w:val="normaltextrun"/>
          <w:rFonts w:cstheme="minorHAnsi"/>
          <w:szCs w:val="24"/>
        </w:rPr>
      </w:pPr>
      <w:r w:rsidRPr="004028A4">
        <w:rPr>
          <w:rStyle w:val="normaltextrun"/>
          <w:rFonts w:cstheme="minorBidi"/>
          <w:szCs w:val="24"/>
        </w:rPr>
        <w:lastRenderedPageBreak/>
        <w:t>Vision loss costs the Australian economy $27 Billion per year.</w:t>
      </w:r>
      <w:r w:rsidRPr="004028A4">
        <w:rPr>
          <w:rStyle w:val="FootnoteReference"/>
          <w:rFonts w:cstheme="minorBidi"/>
          <w:szCs w:val="24"/>
        </w:rPr>
        <w:footnoteReference w:id="22"/>
      </w:r>
      <w:r w:rsidRPr="004028A4">
        <w:rPr>
          <w:rStyle w:val="normaltextrun"/>
          <w:rFonts w:cstheme="minorBidi"/>
          <w:szCs w:val="24"/>
        </w:rPr>
        <w:t xml:space="preserve"> By 2030, the number of people experiencing vision loss is predicted to exceed 1.04 million, an unacceptable figure given that 90% is preventable or treatable.</w:t>
      </w:r>
      <w:r w:rsidRPr="004028A4">
        <w:rPr>
          <w:rStyle w:val="FootnoteReference"/>
          <w:rFonts w:cstheme="minorBidi"/>
          <w:szCs w:val="24"/>
        </w:rPr>
        <w:footnoteReference w:id="23"/>
      </w:r>
    </w:p>
    <w:p w14:paraId="0B3D827D" w14:textId="50B5D2D8" w:rsidR="00D223D8" w:rsidRPr="004028A4" w:rsidRDefault="00D223D8" w:rsidP="00FB1825">
      <w:pPr>
        <w:pStyle w:val="BodyText"/>
        <w:rPr>
          <w:rStyle w:val="normaltextrun"/>
          <w:rFonts w:cstheme="minorBidi"/>
          <w:szCs w:val="24"/>
        </w:rPr>
      </w:pPr>
      <w:r w:rsidRPr="004028A4">
        <w:rPr>
          <w:rStyle w:val="normaltextrun"/>
          <w:rFonts w:cstheme="minorBidi"/>
          <w:szCs w:val="24"/>
        </w:rPr>
        <w:t>We have an opportunity to develop innovative technology to prevent the forecast growth in vision loss and deliver eye care services at greater scale</w:t>
      </w:r>
      <w:r w:rsidRPr="004028A4">
        <w:rPr>
          <w:rStyle w:val="normaltextrun"/>
          <w:szCs w:val="24"/>
        </w:rPr>
        <w:t>.</w:t>
      </w:r>
      <w:r w:rsidRPr="004028A4">
        <w:rPr>
          <w:rStyle w:val="BodyTextChar"/>
          <w:rFonts w:cstheme="minorBidi"/>
          <w:szCs w:val="24"/>
        </w:rPr>
        <w:t xml:space="preserve"> </w:t>
      </w:r>
      <w:r w:rsidRPr="004028A4">
        <w:rPr>
          <w:rStyle w:val="normaltextrun"/>
          <w:rFonts w:cstheme="minorBidi"/>
          <w:szCs w:val="24"/>
        </w:rPr>
        <w:t>In doing so, we will improve quality of life for individuals, create jobs and dramatically reduce the economic cost of vision loss to the Australian public.</w:t>
      </w:r>
    </w:p>
    <w:p w14:paraId="5CE1DF3A" w14:textId="6A667A97" w:rsidR="00D223D8" w:rsidRPr="004028A4" w:rsidRDefault="00D223D8" w:rsidP="00FB1825">
      <w:pPr>
        <w:pStyle w:val="BodyText"/>
        <w:rPr>
          <w:rFonts w:cstheme="minorHAnsi"/>
        </w:rPr>
      </w:pPr>
      <w:r w:rsidRPr="004028A4">
        <w:rPr>
          <w:rStyle w:val="normaltextrun"/>
          <w:rFonts w:cstheme="minorBidi"/>
          <w:szCs w:val="24"/>
        </w:rPr>
        <w:t xml:space="preserve">A recent impact report by the </w:t>
      </w:r>
      <w:r w:rsidRPr="004028A4">
        <w:t>Ophthalmic Research Institute of Australia (ORIA) shows that for every $1 invested in eye health research there was a return of $10 (2009 figures</w:t>
      </w:r>
      <w:r w:rsidRPr="004028A4">
        <w:rPr>
          <w:rStyle w:val="FootnoteReference"/>
          <w:rFonts w:cstheme="minorBidi"/>
          <w:szCs w:val="24"/>
        </w:rPr>
        <w:footnoteReference w:id="24"/>
      </w:r>
      <w:r w:rsidRPr="004028A4">
        <w:t xml:space="preserve">). </w:t>
      </w:r>
      <w:r w:rsidRPr="004028A4">
        <w:rPr>
          <w:rStyle w:val="normaltextrun"/>
          <w:rFonts w:cstheme="minorBidi"/>
          <w:szCs w:val="24"/>
        </w:rPr>
        <w:t>Despite the returns to be gained, investment in eye health research is relatively low compared to that made in other areas of medical research.</w:t>
      </w:r>
      <w:r w:rsidRPr="004028A4">
        <w:rPr>
          <w:rStyle w:val="superscript"/>
          <w:rFonts w:cstheme="minorBidi"/>
          <w:szCs w:val="24"/>
          <w:vertAlign w:val="superscript"/>
        </w:rPr>
        <w:t>17</w:t>
      </w:r>
    </w:p>
    <w:p w14:paraId="3648C07F" w14:textId="7879CFB0" w:rsidR="00D223D8" w:rsidRPr="004028A4" w:rsidRDefault="00D223D8" w:rsidP="00FB1825">
      <w:pPr>
        <w:pStyle w:val="BodyText"/>
        <w:rPr>
          <w:rStyle w:val="normaltextrun"/>
          <w:rFonts w:ascii="Arial" w:hAnsi="Arial" w:cstheme="minorHAnsi"/>
          <w:szCs w:val="24"/>
        </w:rPr>
      </w:pPr>
      <w:r w:rsidRPr="004028A4">
        <w:rPr>
          <w:rStyle w:val="normaltextrun"/>
          <w:rFonts w:cstheme="minorHAnsi"/>
          <w:szCs w:val="24"/>
        </w:rPr>
        <w:t>Australia has committed to the improvement of eye health through its sponsorship of the World Health Assembly adoption of the World Report on Vision that calls for further investment in research.</w:t>
      </w:r>
    </w:p>
    <w:p w14:paraId="200D9637" w14:textId="77777777" w:rsidR="00D223D8" w:rsidRPr="004028A4" w:rsidRDefault="00D223D8" w:rsidP="00FB1825">
      <w:pPr>
        <w:pStyle w:val="BodyText"/>
      </w:pPr>
      <w:r w:rsidRPr="004028A4">
        <w:rPr>
          <w:rStyle w:val="normaltextrun"/>
          <w:rFonts w:cstheme="minorHAnsi"/>
          <w:szCs w:val="24"/>
        </w:rPr>
        <w:t>Vision 2020 Australia has led the development of a sector wide research agenda that identifies ten priority areas for immediate investment (see table). This provides a framework for a dedicated vision mission within the Medical Research Future Fund. Creating a dedicated mission will accelerate sight saving treatment, enhance support and give life to Australia’s commitment to further investment in research.</w:t>
      </w:r>
      <w:bookmarkEnd w:id="8"/>
      <w:bookmarkEnd w:id="9"/>
    </w:p>
    <w:p w14:paraId="444879CC" w14:textId="7BFB3492" w:rsidR="00D223D8" w:rsidRPr="000242DB" w:rsidRDefault="00C723B7" w:rsidP="00C723B7">
      <w:pPr>
        <w:pStyle w:val="Heading2"/>
      </w:pPr>
      <w:bookmarkStart w:id="14" w:name="_Toc90376275"/>
      <w:r>
        <w:t>Ten</w:t>
      </w:r>
      <w:r w:rsidR="00D56098">
        <w:t>-</w:t>
      </w:r>
      <w:r w:rsidR="00D223D8" w:rsidRPr="48D3398A">
        <w:t>point plan to enhance Australian vision research</w:t>
      </w:r>
      <w:bookmarkEnd w:id="14"/>
    </w:p>
    <w:tbl>
      <w:tblPr>
        <w:tblStyle w:val="TableGridLight"/>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528"/>
      </w:tblGrid>
      <w:tr w:rsidR="00D223D8" w:rsidRPr="00184DF4" w14:paraId="633D0CDE" w14:textId="77777777" w:rsidTr="00013C81">
        <w:trPr>
          <w:cantSplit/>
          <w:tblHeader/>
        </w:trPr>
        <w:tc>
          <w:tcPr>
            <w:tcW w:w="4248" w:type="dxa"/>
            <w:shd w:val="clear" w:color="auto" w:fill="004B8D" w:themeFill="accent1"/>
          </w:tcPr>
          <w:p w14:paraId="2B755B55" w14:textId="77777777" w:rsidR="00D223D8" w:rsidRPr="00184DF4" w:rsidRDefault="00D223D8" w:rsidP="00013C81">
            <w:pPr>
              <w:spacing w:after="120"/>
              <w:rPr>
                <w:b/>
                <w:bCs/>
                <w:color w:val="FFFFFF" w:themeColor="background2"/>
                <w:sz w:val="22"/>
              </w:rPr>
            </w:pPr>
            <w:r w:rsidRPr="00184DF4">
              <w:rPr>
                <w:b/>
                <w:bCs/>
                <w:color w:val="FFFFFF" w:themeColor="background2"/>
                <w:sz w:val="22"/>
              </w:rPr>
              <w:t>Focus area</w:t>
            </w:r>
          </w:p>
        </w:tc>
        <w:tc>
          <w:tcPr>
            <w:tcW w:w="5528" w:type="dxa"/>
            <w:shd w:val="clear" w:color="auto" w:fill="004B8D" w:themeFill="accent1"/>
          </w:tcPr>
          <w:p w14:paraId="503D85A6" w14:textId="77777777" w:rsidR="00D223D8" w:rsidRPr="00184DF4" w:rsidRDefault="00D223D8" w:rsidP="00013C81">
            <w:pPr>
              <w:spacing w:after="120"/>
              <w:rPr>
                <w:b/>
                <w:bCs/>
                <w:color w:val="FFFFFF" w:themeColor="background2"/>
                <w:sz w:val="22"/>
              </w:rPr>
            </w:pPr>
            <w:r w:rsidRPr="00184DF4">
              <w:rPr>
                <w:b/>
                <w:bCs/>
                <w:color w:val="FFFFFF" w:themeColor="background2"/>
                <w:sz w:val="22"/>
              </w:rPr>
              <w:t>Examples of research questions</w:t>
            </w:r>
          </w:p>
        </w:tc>
      </w:tr>
      <w:tr w:rsidR="00D223D8" w:rsidRPr="00A438C8" w14:paraId="2E6D8FFD" w14:textId="77777777" w:rsidTr="00013C81">
        <w:trPr>
          <w:cantSplit/>
        </w:trPr>
        <w:tc>
          <w:tcPr>
            <w:tcW w:w="4248" w:type="dxa"/>
          </w:tcPr>
          <w:p w14:paraId="38237924" w14:textId="77777777" w:rsidR="00D223D8" w:rsidRPr="00A438C8" w:rsidDel="00DF62AB" w:rsidRDefault="00D223D8" w:rsidP="00FB1825">
            <w:pPr>
              <w:pStyle w:val="BodyText"/>
            </w:pPr>
            <w:r w:rsidRPr="00A438C8">
              <w:t>Vision science</w:t>
            </w:r>
          </w:p>
        </w:tc>
        <w:tc>
          <w:tcPr>
            <w:tcW w:w="5528" w:type="dxa"/>
          </w:tcPr>
          <w:p w14:paraId="43EB2169" w14:textId="77777777" w:rsidR="00D223D8" w:rsidRPr="00A438C8" w:rsidRDefault="00D223D8" w:rsidP="00FB1825">
            <w:pPr>
              <w:pStyle w:val="BodyText"/>
            </w:pPr>
            <w:r w:rsidRPr="00A438C8">
              <w:t xml:space="preserve">How do we </w:t>
            </w:r>
            <w:r>
              <w:t>increase</w:t>
            </w:r>
            <w:r w:rsidRPr="00A438C8">
              <w:t xml:space="preserve"> understanding of the </w:t>
            </w:r>
            <w:r>
              <w:t xml:space="preserve">function and </w:t>
            </w:r>
            <w:r w:rsidRPr="00A438C8">
              <w:t>biology of the visual system</w:t>
            </w:r>
            <w:r>
              <w:t xml:space="preserve"> from eye to brain</w:t>
            </w:r>
            <w:r w:rsidRPr="00A438C8">
              <w:t xml:space="preserve"> </w:t>
            </w:r>
            <w:r>
              <w:t xml:space="preserve">and apply this </w:t>
            </w:r>
            <w:r w:rsidRPr="00A438C8">
              <w:t xml:space="preserve">to improve </w:t>
            </w:r>
            <w:r>
              <w:t>patient</w:t>
            </w:r>
            <w:r w:rsidRPr="00A438C8">
              <w:t xml:space="preserve"> care?</w:t>
            </w:r>
          </w:p>
        </w:tc>
      </w:tr>
      <w:tr w:rsidR="00D223D8" w:rsidRPr="00A438C8" w14:paraId="640BA40B" w14:textId="77777777" w:rsidTr="00013C81">
        <w:trPr>
          <w:cantSplit/>
        </w:trPr>
        <w:tc>
          <w:tcPr>
            <w:tcW w:w="4248" w:type="dxa"/>
          </w:tcPr>
          <w:p w14:paraId="3C39A464" w14:textId="77777777" w:rsidR="00D223D8" w:rsidRPr="00A438C8" w:rsidRDefault="00D223D8" w:rsidP="00FB1825">
            <w:pPr>
              <w:pStyle w:val="BodyText"/>
            </w:pPr>
            <w:r>
              <w:t>Vision for life</w:t>
            </w:r>
          </w:p>
        </w:tc>
        <w:tc>
          <w:tcPr>
            <w:tcW w:w="5528" w:type="dxa"/>
          </w:tcPr>
          <w:p w14:paraId="0A64751C" w14:textId="77777777" w:rsidR="00D223D8" w:rsidRDefault="00D223D8" w:rsidP="00FB1825">
            <w:pPr>
              <w:pStyle w:val="BodyText"/>
            </w:pPr>
            <w:r w:rsidRPr="00A438C8">
              <w:t xml:space="preserve">How can we reduce the effect of degenerative </w:t>
            </w:r>
            <w:r>
              <w:t xml:space="preserve">sight-threatening </w:t>
            </w:r>
            <w:r w:rsidRPr="00A438C8">
              <w:t>diseases on quality of life in an ageing population?</w:t>
            </w:r>
          </w:p>
          <w:p w14:paraId="124B0BAD" w14:textId="77777777" w:rsidR="00D223D8" w:rsidRPr="00A438C8" w:rsidRDefault="00D223D8" w:rsidP="00FB1825">
            <w:pPr>
              <w:pStyle w:val="BodyText"/>
            </w:pPr>
            <w:bookmarkStart w:id="15" w:name="_Hlk77063056"/>
            <w:r>
              <w:t>How can we better support people living with a lifetime burden of eye disease?</w:t>
            </w:r>
            <w:bookmarkEnd w:id="15"/>
          </w:p>
        </w:tc>
      </w:tr>
      <w:tr w:rsidR="00D223D8" w:rsidRPr="00A438C8" w14:paraId="6410ECFE" w14:textId="77777777" w:rsidTr="00013C81">
        <w:trPr>
          <w:cantSplit/>
        </w:trPr>
        <w:tc>
          <w:tcPr>
            <w:tcW w:w="4248" w:type="dxa"/>
          </w:tcPr>
          <w:p w14:paraId="2DA11CAE" w14:textId="77777777" w:rsidR="00D223D8" w:rsidRPr="00A438C8" w:rsidRDefault="00D223D8" w:rsidP="00FB1825">
            <w:pPr>
              <w:pStyle w:val="BodyText"/>
            </w:pPr>
            <w:r w:rsidRPr="00A438C8">
              <w:t>Increase the effectiveness of treatment</w:t>
            </w:r>
          </w:p>
        </w:tc>
        <w:tc>
          <w:tcPr>
            <w:tcW w:w="5528" w:type="dxa"/>
          </w:tcPr>
          <w:p w14:paraId="18D5FB28" w14:textId="77777777" w:rsidR="00D223D8" w:rsidRPr="00A438C8" w:rsidRDefault="00D223D8" w:rsidP="00FB1825">
            <w:pPr>
              <w:pStyle w:val="BodyText"/>
            </w:pPr>
            <w:r w:rsidRPr="00A438C8">
              <w:rPr>
                <w:rStyle w:val="normaltextrun"/>
              </w:rPr>
              <w:t>What are the markers of early-stage disease and disease progression that can inform therapy?</w:t>
            </w:r>
          </w:p>
        </w:tc>
      </w:tr>
      <w:tr w:rsidR="00D223D8" w:rsidRPr="00A438C8" w14:paraId="16A35129" w14:textId="77777777" w:rsidTr="00013C81">
        <w:trPr>
          <w:cantSplit/>
        </w:trPr>
        <w:tc>
          <w:tcPr>
            <w:tcW w:w="4248" w:type="dxa"/>
          </w:tcPr>
          <w:p w14:paraId="7860C6B4" w14:textId="77777777" w:rsidR="00D223D8" w:rsidRPr="00A438C8" w:rsidRDefault="00D223D8" w:rsidP="00FB1825">
            <w:pPr>
              <w:pStyle w:val="BodyText"/>
            </w:pPr>
            <w:r>
              <w:lastRenderedPageBreak/>
              <w:t xml:space="preserve">Applying precision medicine to eye disease </w:t>
            </w:r>
          </w:p>
        </w:tc>
        <w:tc>
          <w:tcPr>
            <w:tcW w:w="5528" w:type="dxa"/>
          </w:tcPr>
          <w:p w14:paraId="33B3DFF4" w14:textId="77777777" w:rsidR="00D223D8" w:rsidRPr="00A438C8" w:rsidRDefault="00D223D8" w:rsidP="00FB1825">
            <w:pPr>
              <w:pStyle w:val="BodyText"/>
              <w:rPr>
                <w:rStyle w:val="normaltextrun"/>
              </w:rPr>
            </w:pPr>
            <w:r w:rsidRPr="00A438C8">
              <w:t>How can we use newer individual</w:t>
            </w:r>
            <w:r>
              <w:t xml:space="preserve"> person </w:t>
            </w:r>
            <w:r w:rsidRPr="00A438C8">
              <w:t xml:space="preserve">specific </w:t>
            </w:r>
            <w:r>
              <w:t xml:space="preserve">features </w:t>
            </w:r>
            <w:r w:rsidRPr="00A438C8">
              <w:t xml:space="preserve">to improve testing and diagnosis </w:t>
            </w:r>
            <w:r>
              <w:t>of sight-threatening diseases</w:t>
            </w:r>
            <w:r w:rsidRPr="00A438C8">
              <w:t xml:space="preserve">? </w:t>
            </w:r>
          </w:p>
        </w:tc>
      </w:tr>
      <w:tr w:rsidR="00D223D8" w14:paraId="16990A5C" w14:textId="77777777" w:rsidTr="00013C81">
        <w:trPr>
          <w:cantSplit/>
        </w:trPr>
        <w:tc>
          <w:tcPr>
            <w:tcW w:w="4248" w:type="dxa"/>
          </w:tcPr>
          <w:p w14:paraId="126D4A3E" w14:textId="77777777" w:rsidR="00D223D8" w:rsidRPr="00A438C8" w:rsidRDefault="00D223D8" w:rsidP="00FB1825">
            <w:pPr>
              <w:pStyle w:val="BodyText"/>
            </w:pPr>
            <w:r w:rsidRPr="00A438C8">
              <w:t>Pre-clinical &amp; Clinical Trials</w:t>
            </w:r>
          </w:p>
        </w:tc>
        <w:tc>
          <w:tcPr>
            <w:tcW w:w="5528" w:type="dxa"/>
            <w:shd w:val="clear" w:color="auto" w:fill="auto"/>
          </w:tcPr>
          <w:p w14:paraId="05C5F6C8" w14:textId="77777777" w:rsidR="00D223D8" w:rsidRPr="00B73CA5" w:rsidRDefault="00D223D8" w:rsidP="00FB1825">
            <w:pPr>
              <w:pStyle w:val="BodyText"/>
            </w:pPr>
            <w:r w:rsidRPr="00B73CA5">
              <w:t>How do we use enhanced clinical trials capacity to improve patient care?</w:t>
            </w:r>
          </w:p>
        </w:tc>
      </w:tr>
      <w:tr w:rsidR="00D223D8" w:rsidRPr="00A438C8" w14:paraId="52FFEEDF" w14:textId="77777777" w:rsidTr="00013C81">
        <w:trPr>
          <w:cantSplit/>
        </w:trPr>
        <w:tc>
          <w:tcPr>
            <w:tcW w:w="4248" w:type="dxa"/>
          </w:tcPr>
          <w:p w14:paraId="082F2BA4" w14:textId="77777777" w:rsidR="00D223D8" w:rsidRPr="00A438C8" w:rsidRDefault="00D223D8" w:rsidP="00FB1825">
            <w:pPr>
              <w:pStyle w:val="BodyText"/>
            </w:pPr>
            <w:r w:rsidRPr="00A438C8">
              <w:t>Prevention</w:t>
            </w:r>
          </w:p>
        </w:tc>
        <w:tc>
          <w:tcPr>
            <w:tcW w:w="5528" w:type="dxa"/>
            <w:shd w:val="clear" w:color="auto" w:fill="auto"/>
          </w:tcPr>
          <w:p w14:paraId="14A9D93E" w14:textId="77777777" w:rsidR="00D223D8" w:rsidRPr="00B73CA5" w:rsidRDefault="00D223D8" w:rsidP="00FB1825">
            <w:pPr>
              <w:pStyle w:val="BodyText"/>
            </w:pPr>
            <w:r w:rsidRPr="00B73CA5">
              <w:t>How do we enhance and embed preventive activities to reduce avoidable vision loss, and strengthen the underlying evidence base?</w:t>
            </w:r>
          </w:p>
        </w:tc>
      </w:tr>
      <w:tr w:rsidR="00D223D8" w:rsidRPr="00A438C8" w14:paraId="05E8E608" w14:textId="77777777" w:rsidTr="00013C81">
        <w:trPr>
          <w:cantSplit/>
        </w:trPr>
        <w:tc>
          <w:tcPr>
            <w:tcW w:w="4248" w:type="dxa"/>
          </w:tcPr>
          <w:p w14:paraId="3F7BC890" w14:textId="77777777" w:rsidR="00D223D8" w:rsidRPr="00A438C8" w:rsidRDefault="00D223D8" w:rsidP="00FB1825">
            <w:pPr>
              <w:pStyle w:val="BodyText"/>
            </w:pPr>
            <w:r w:rsidRPr="00A438C8">
              <w:t xml:space="preserve">Screening &amp; early detection </w:t>
            </w:r>
          </w:p>
        </w:tc>
        <w:tc>
          <w:tcPr>
            <w:tcW w:w="5528" w:type="dxa"/>
            <w:shd w:val="clear" w:color="auto" w:fill="auto"/>
          </w:tcPr>
          <w:p w14:paraId="0ACA1734" w14:textId="77777777" w:rsidR="00D223D8" w:rsidRPr="00B73CA5" w:rsidRDefault="00D223D8" w:rsidP="00FB1825">
            <w:pPr>
              <w:pStyle w:val="BodyText"/>
            </w:pPr>
            <w:r w:rsidRPr="00B73CA5">
              <w:t xml:space="preserve">How can we improve detection strategies for sight-threatening disease to identify and treat those at highest lifetime risk of blindness or vision loss? </w:t>
            </w:r>
          </w:p>
        </w:tc>
      </w:tr>
      <w:tr w:rsidR="00D223D8" w:rsidRPr="00A438C8" w14:paraId="1B65DCB5" w14:textId="77777777" w:rsidTr="00013C81">
        <w:trPr>
          <w:cantSplit/>
        </w:trPr>
        <w:tc>
          <w:tcPr>
            <w:tcW w:w="4248" w:type="dxa"/>
          </w:tcPr>
          <w:p w14:paraId="52CD86F7" w14:textId="77777777" w:rsidR="00D223D8" w:rsidRPr="00A438C8" w:rsidRDefault="00D223D8" w:rsidP="00FB1825">
            <w:pPr>
              <w:pStyle w:val="BodyText"/>
            </w:pPr>
            <w:r w:rsidRPr="00A438C8">
              <w:t>Enhance service delivery</w:t>
            </w:r>
          </w:p>
        </w:tc>
        <w:tc>
          <w:tcPr>
            <w:tcW w:w="5528" w:type="dxa"/>
            <w:shd w:val="clear" w:color="auto" w:fill="auto"/>
          </w:tcPr>
          <w:p w14:paraId="31BF8534" w14:textId="77777777" w:rsidR="00D223D8" w:rsidRPr="00B73CA5" w:rsidRDefault="00D223D8" w:rsidP="00FB1825">
            <w:pPr>
              <w:pStyle w:val="BodyText"/>
            </w:pPr>
            <w:r w:rsidRPr="00B73CA5">
              <w:t>How can we improve access to and uptake of high-quality eye care services?</w:t>
            </w:r>
          </w:p>
        </w:tc>
      </w:tr>
      <w:tr w:rsidR="00D223D8" w:rsidRPr="00A438C8" w14:paraId="06B57C88" w14:textId="77777777" w:rsidTr="00013C81">
        <w:trPr>
          <w:cantSplit/>
        </w:trPr>
        <w:tc>
          <w:tcPr>
            <w:tcW w:w="4248" w:type="dxa"/>
          </w:tcPr>
          <w:p w14:paraId="2DD0C3CD" w14:textId="77777777" w:rsidR="00D223D8" w:rsidRPr="00A438C8" w:rsidRDefault="00D223D8" w:rsidP="00FB1825">
            <w:pPr>
              <w:pStyle w:val="BodyText"/>
            </w:pPr>
            <w:r w:rsidRPr="00A438C8">
              <w:t>Meeting the needs of Aboriginal and Torres Strait Islander Peoples</w:t>
            </w:r>
            <w:r>
              <w:t xml:space="preserve"> (Closing the Gap)</w:t>
            </w:r>
          </w:p>
        </w:tc>
        <w:tc>
          <w:tcPr>
            <w:tcW w:w="5528" w:type="dxa"/>
            <w:shd w:val="clear" w:color="auto" w:fill="auto"/>
          </w:tcPr>
          <w:p w14:paraId="3CF46438" w14:textId="77777777" w:rsidR="00D223D8" w:rsidRPr="00B73CA5" w:rsidRDefault="00D223D8" w:rsidP="00FB1825">
            <w:pPr>
              <w:pStyle w:val="BodyText"/>
              <w:rPr>
                <w:rStyle w:val="normaltextrun"/>
              </w:rPr>
            </w:pPr>
            <w:r w:rsidRPr="00B73CA5">
              <w:t xml:space="preserve">How do we achieve equity of eye health and vision outcomes for Aboriginal and Torres Strait Islander peoples and embed community leadership and control? </w:t>
            </w:r>
          </w:p>
        </w:tc>
      </w:tr>
      <w:tr w:rsidR="00D223D8" w:rsidRPr="00A438C8" w14:paraId="722E6E6D" w14:textId="77777777" w:rsidTr="00013C81">
        <w:trPr>
          <w:cantSplit/>
        </w:trPr>
        <w:tc>
          <w:tcPr>
            <w:tcW w:w="4248" w:type="dxa"/>
          </w:tcPr>
          <w:p w14:paraId="7B772C1E" w14:textId="77777777" w:rsidR="00D223D8" w:rsidRDefault="00D223D8" w:rsidP="00FB1825">
            <w:pPr>
              <w:pStyle w:val="BodyText"/>
            </w:pPr>
            <w:r>
              <w:t xml:space="preserve">Improving </w:t>
            </w:r>
            <w:r w:rsidRPr="00A438C8">
              <w:t xml:space="preserve">Patient </w:t>
            </w:r>
            <w:r>
              <w:t xml:space="preserve">Journey </w:t>
            </w:r>
          </w:p>
          <w:p w14:paraId="25E47C60" w14:textId="77777777" w:rsidR="00D223D8" w:rsidRPr="00A438C8" w:rsidRDefault="00D223D8" w:rsidP="00FB1825">
            <w:pPr>
              <w:pStyle w:val="BodyText"/>
            </w:pPr>
          </w:p>
        </w:tc>
        <w:tc>
          <w:tcPr>
            <w:tcW w:w="5528" w:type="dxa"/>
          </w:tcPr>
          <w:p w14:paraId="498443EB" w14:textId="77777777" w:rsidR="00D223D8" w:rsidRPr="00A438C8" w:rsidRDefault="00D223D8" w:rsidP="00FB1825">
            <w:pPr>
              <w:pStyle w:val="BodyText"/>
              <w:rPr>
                <w:rStyle w:val="normaltextrun"/>
              </w:rPr>
            </w:pPr>
            <w:r w:rsidRPr="00A438C8">
              <w:t xml:space="preserve">How do we better understand the impacts of eye </w:t>
            </w:r>
            <w:r>
              <w:t xml:space="preserve">and brain </w:t>
            </w:r>
            <w:r w:rsidRPr="00A438C8">
              <w:t>disease on vision</w:t>
            </w:r>
            <w:r>
              <w:t xml:space="preserve"> and quality of life (including social and economic impacts)</w:t>
            </w:r>
            <w:r w:rsidRPr="00A438C8">
              <w:t xml:space="preserve"> and manage these?</w:t>
            </w:r>
          </w:p>
        </w:tc>
      </w:tr>
    </w:tbl>
    <w:p w14:paraId="50C2556E" w14:textId="77777777" w:rsidR="00D223D8" w:rsidRDefault="00D223D8" w:rsidP="00C723B7">
      <w:pPr>
        <w:pStyle w:val="Heading1"/>
      </w:pPr>
      <w:bookmarkStart w:id="16" w:name="_Toc81557016"/>
      <w:bookmarkStart w:id="17" w:name="_Toc90376276"/>
      <w:r w:rsidRPr="001B5C51">
        <w:t xml:space="preserve">Increase public access to sight saving </w:t>
      </w:r>
      <w:bookmarkEnd w:id="16"/>
      <w:r w:rsidRPr="001B5C51">
        <w:t>eye care treatment</w:t>
      </w:r>
      <w:bookmarkEnd w:id="17"/>
    </w:p>
    <w:p w14:paraId="13EEB9EE" w14:textId="77777777" w:rsidR="00956432" w:rsidRDefault="00956432" w:rsidP="00FB1825">
      <w:pPr>
        <w:pStyle w:val="BodyText"/>
        <w:rPr>
          <w:rStyle w:val="eop"/>
          <w:szCs w:val="24"/>
        </w:rPr>
      </w:pPr>
      <w:r w:rsidRPr="00956432">
        <w:rPr>
          <w:rStyle w:val="eop"/>
          <w:szCs w:val="24"/>
        </w:rPr>
        <w:t xml:space="preserve">Fund ophthalmology staff specialist positions in the public system and develop new and innovative eye health workforce strategies that improve access to cataract surgery and intravitreal injections in regional, </w:t>
      </w:r>
      <w:proofErr w:type="gramStart"/>
      <w:r w:rsidRPr="00956432">
        <w:rPr>
          <w:rStyle w:val="eop"/>
          <w:szCs w:val="24"/>
        </w:rPr>
        <w:t>rural</w:t>
      </w:r>
      <w:proofErr w:type="gramEnd"/>
      <w:r w:rsidRPr="00956432">
        <w:rPr>
          <w:rStyle w:val="eop"/>
          <w:szCs w:val="24"/>
        </w:rPr>
        <w:t xml:space="preserve"> and remote Australia.</w:t>
      </w:r>
    </w:p>
    <w:p w14:paraId="1C488254" w14:textId="019A34F8" w:rsidR="00D223D8" w:rsidRPr="00E61034" w:rsidRDefault="00D223D8" w:rsidP="00FB1825">
      <w:pPr>
        <w:pStyle w:val="BodyText"/>
      </w:pPr>
      <w:r w:rsidRPr="00E61034">
        <w:lastRenderedPageBreak/>
        <w:t>Cataract and macular diseases (including age-related macular degeneration and diabetic eye disease) are two of the leading causes of vision loss in Australia</w:t>
      </w:r>
      <w:r w:rsidRPr="00E61034">
        <w:rPr>
          <w:vertAlign w:val="superscript"/>
        </w:rPr>
        <w:footnoteReference w:id="25"/>
      </w:r>
      <w:r w:rsidRPr="00E61034">
        <w:t>. Fortunately, there are proven, cost effective treatments that can reverse or slow the loss of vision.</w:t>
      </w:r>
    </w:p>
    <w:p w14:paraId="24BC89EA" w14:textId="77777777" w:rsidR="00D223D8" w:rsidRPr="00E61034" w:rsidRDefault="00D223D8" w:rsidP="00FB1825">
      <w:pPr>
        <w:pStyle w:val="BodyText"/>
      </w:pPr>
      <w:r w:rsidRPr="00E61034">
        <w:t>However, people who rely on the public health system currently experience significant barriers in accessing these treatments with:</w:t>
      </w:r>
    </w:p>
    <w:p w14:paraId="70038EBA" w14:textId="77777777" w:rsidR="00D223D8" w:rsidRPr="00DE4BDD" w:rsidRDefault="00D223D8" w:rsidP="00E61034">
      <w:pPr>
        <w:pStyle w:val="ListBullet0"/>
      </w:pPr>
      <w:r w:rsidRPr="658D5CD5">
        <w:t xml:space="preserve"> 74,000 people </w:t>
      </w:r>
      <w:r>
        <w:t>(</w:t>
      </w:r>
      <w:r w:rsidRPr="658D5CD5">
        <w:t>of which 8,500 are Aboriginal and Torres Strait Islander Peoples</w:t>
      </w:r>
      <w:r>
        <w:t>) currently waiting for cataract surgery,</w:t>
      </w:r>
      <w:r w:rsidRPr="658D5CD5">
        <w:t xml:space="preserve"> and </w:t>
      </w:r>
    </w:p>
    <w:p w14:paraId="538762AA" w14:textId="569F0CE2" w:rsidR="00D223D8" w:rsidRPr="00D33771" w:rsidRDefault="00D223D8" w:rsidP="00E61034">
      <w:pPr>
        <w:pStyle w:val="ListBullet0"/>
      </w:pPr>
      <w:r w:rsidRPr="31C9B5F5">
        <w:t>Few public health services providing ongoing, monthly intravitreal injections</w:t>
      </w:r>
      <w:r>
        <w:t>.</w:t>
      </w:r>
    </w:p>
    <w:p w14:paraId="0BE0FF95" w14:textId="2EBE11C5" w:rsidR="00D223D8" w:rsidRDefault="00D223D8" w:rsidP="00FB1825">
      <w:pPr>
        <w:pStyle w:val="BodyText"/>
      </w:pPr>
      <w:r w:rsidRPr="31C9B5F5">
        <w:t>To prevent a lifetime of avoidable blindness</w:t>
      </w:r>
      <w:r>
        <w:t xml:space="preserve"> </w:t>
      </w:r>
      <w:proofErr w:type="gramStart"/>
      <w:r w:rsidRPr="31C9B5F5">
        <w:t>Australian’s</w:t>
      </w:r>
      <w:proofErr w:type="gramEnd"/>
      <w:r>
        <w:t xml:space="preserve"> </w:t>
      </w:r>
      <w:r w:rsidRPr="31C9B5F5">
        <w:t>need timely access to these services</w:t>
      </w:r>
      <w:r w:rsidRPr="00CF54FC">
        <w:t>.</w:t>
      </w:r>
    </w:p>
    <w:p w14:paraId="51B9B937" w14:textId="77777777" w:rsidR="00D223D8" w:rsidRDefault="00D223D8" w:rsidP="00FB1825">
      <w:pPr>
        <w:pStyle w:val="BodyText"/>
      </w:pPr>
      <w:r w:rsidRPr="31C9B5F5">
        <w:t xml:space="preserve">Timely access </w:t>
      </w:r>
      <w:r w:rsidRPr="002D4EFF">
        <w:t xml:space="preserve">is good for the individual </w:t>
      </w:r>
      <w:r w:rsidRPr="31C9B5F5">
        <w:t>and for the economy</w:t>
      </w:r>
      <w:r>
        <w:t xml:space="preserve">, with </w:t>
      </w:r>
      <w:r w:rsidRPr="00200A46">
        <w:rPr>
          <w:lang w:val="en-US"/>
        </w:rPr>
        <w:t>interventions to improve or restore sight returning $4 for every $1 invested</w:t>
      </w:r>
      <w:r w:rsidRPr="31C9B5F5">
        <w:t>.</w:t>
      </w:r>
      <w:r>
        <w:rPr>
          <w:rStyle w:val="FootnoteReference"/>
        </w:rPr>
        <w:footnoteReference w:id="26"/>
      </w:r>
      <w:r w:rsidRPr="31C9B5F5">
        <w:t xml:space="preserve"> </w:t>
      </w:r>
    </w:p>
    <w:p w14:paraId="5D0354C3" w14:textId="4CBC79F9" w:rsidR="00D223D8" w:rsidRPr="00CF54FC" w:rsidRDefault="00D223D8" w:rsidP="00FB1825">
      <w:pPr>
        <w:pStyle w:val="BodyText"/>
      </w:pPr>
      <w:r>
        <w:t>To address the barriers in accessing these treatments and ensure equity in sight saving treatment, Vision 2020 Australia recommends:</w:t>
      </w:r>
    </w:p>
    <w:p w14:paraId="63D79840" w14:textId="77777777" w:rsidR="00D223D8" w:rsidRPr="004573C8" w:rsidRDefault="00D223D8" w:rsidP="00E61034">
      <w:pPr>
        <w:pStyle w:val="ListBullet0"/>
      </w:pPr>
      <w:r>
        <w:t>Implementing a 90-day rule for</w:t>
      </w:r>
      <w:r w:rsidRPr="004573C8">
        <w:t xml:space="preserve"> cataract surgery</w:t>
      </w:r>
      <w:r>
        <w:t xml:space="preserve">, whereby patients are to be </w:t>
      </w:r>
      <w:r w:rsidRPr="004573C8">
        <w:t>seen within 90 days of requesting an outpatient visit for assessment and operated on within 90 days of booking - and reporting of performance against this</w:t>
      </w:r>
      <w:r>
        <w:t>.</w:t>
      </w:r>
      <w:r w:rsidRPr="004573C8">
        <w:t xml:space="preserve"> </w:t>
      </w:r>
    </w:p>
    <w:p w14:paraId="60F8C02A" w14:textId="77777777" w:rsidR="00D223D8" w:rsidRDefault="00D223D8" w:rsidP="00E61034">
      <w:pPr>
        <w:pStyle w:val="ListBullet0"/>
      </w:pPr>
      <w:r>
        <w:t>An increase in publicly funded and/or affordable access to intravitreal injections</w:t>
      </w:r>
      <w:r>
        <w:rPr>
          <w:rStyle w:val="FootnoteReference"/>
        </w:rPr>
        <w:footnoteReference w:id="27"/>
      </w:r>
      <w:r>
        <w:t xml:space="preserve"> and benchmarks implemented that measure reach and timeliness. For this to be successful, mandated improvements are needed to the collection and reporting of outpatient/specialist clinic data. This would provide greater clarity on the expediency of initial appointments and treatment and ongoing access to sight saving treatment.</w:t>
      </w:r>
    </w:p>
    <w:p w14:paraId="41F10132" w14:textId="6B29F1AD" w:rsidR="00D223D8" w:rsidRPr="005A3A88" w:rsidRDefault="00D223D8" w:rsidP="00FB1825">
      <w:pPr>
        <w:pStyle w:val="BodyText"/>
        <w:rPr>
          <w:lang w:val="en-US"/>
        </w:rPr>
      </w:pPr>
      <w:r w:rsidRPr="005A3A88">
        <w:rPr>
          <w:lang w:val="en-US"/>
        </w:rPr>
        <w:t xml:space="preserve">To achieve this, fund </w:t>
      </w:r>
      <w:r w:rsidR="00E63D2B" w:rsidRPr="00E63D2B">
        <w:rPr>
          <w:lang w:val="en-US"/>
        </w:rPr>
        <w:t xml:space="preserve">ophthalmology staff specialist positions in the public system and develop new and innovative eye health workforce strategies that improve access to cataract surgery and intravitreal injections in regional, </w:t>
      </w:r>
      <w:proofErr w:type="gramStart"/>
      <w:r w:rsidR="00E63D2B" w:rsidRPr="00E63D2B">
        <w:rPr>
          <w:lang w:val="en-US"/>
        </w:rPr>
        <w:t>rural</w:t>
      </w:r>
      <w:proofErr w:type="gramEnd"/>
      <w:r w:rsidR="00E63D2B" w:rsidRPr="00E63D2B">
        <w:rPr>
          <w:lang w:val="en-US"/>
        </w:rPr>
        <w:t xml:space="preserve"> and remote Australia</w:t>
      </w:r>
      <w:r w:rsidRPr="005A3A88">
        <w:rPr>
          <w:lang w:val="en-US"/>
        </w:rPr>
        <w:t>.</w:t>
      </w:r>
    </w:p>
    <w:p w14:paraId="68E7FF80" w14:textId="23688791" w:rsidR="00D223D8" w:rsidRPr="00EC1F3F" w:rsidRDefault="00D223D8" w:rsidP="00D223D8">
      <w:pPr>
        <w:pStyle w:val="Heading1"/>
        <w:rPr>
          <w:b w:val="0"/>
          <w:bCs w:val="0"/>
        </w:rPr>
      </w:pPr>
      <w:bookmarkStart w:id="18" w:name="_Toc81557017"/>
      <w:bookmarkStart w:id="19" w:name="_Toc90376277"/>
      <w:bookmarkStart w:id="20" w:name="_Toc81553431"/>
      <w:bookmarkStart w:id="21" w:name="_Toc81553482"/>
      <w:r w:rsidRPr="00EC1F3F">
        <w:rPr>
          <w:bCs w:val="0"/>
        </w:rPr>
        <w:t xml:space="preserve">A National Framework for </w:t>
      </w:r>
      <w:r w:rsidR="00536D4F">
        <w:rPr>
          <w:bCs w:val="0"/>
        </w:rPr>
        <w:t>ch</w:t>
      </w:r>
      <w:r w:rsidRPr="00EC1F3F">
        <w:rPr>
          <w:bCs w:val="0"/>
        </w:rPr>
        <w:t xml:space="preserve">ildren's </w:t>
      </w:r>
      <w:r w:rsidR="00E61034">
        <w:rPr>
          <w:bCs w:val="0"/>
        </w:rPr>
        <w:t>vi</w:t>
      </w:r>
      <w:r w:rsidRPr="00EC1F3F">
        <w:rPr>
          <w:bCs w:val="0"/>
        </w:rPr>
        <w:t xml:space="preserve">sion </w:t>
      </w:r>
      <w:r>
        <w:rPr>
          <w:b w:val="0"/>
          <w:bCs w:val="0"/>
        </w:rPr>
        <w:t>s</w:t>
      </w:r>
      <w:r w:rsidRPr="00EC1F3F">
        <w:rPr>
          <w:bCs w:val="0"/>
        </w:rPr>
        <w:t>creening</w:t>
      </w:r>
      <w:bookmarkEnd w:id="18"/>
      <w:bookmarkEnd w:id="19"/>
    </w:p>
    <w:p w14:paraId="2741B921" w14:textId="593E864E" w:rsidR="00D223D8" w:rsidRPr="00A4692B" w:rsidRDefault="00D223D8" w:rsidP="00FB1825">
      <w:pPr>
        <w:pStyle w:val="BodyText"/>
      </w:pPr>
      <w:r w:rsidRPr="00A4692B">
        <w:t xml:space="preserve">Australian Government endorsement of a National Framework for children’s vision screening to ensure all children have their </w:t>
      </w:r>
      <w:r>
        <w:t>eyes</w:t>
      </w:r>
      <w:r w:rsidRPr="00A4692B">
        <w:t xml:space="preserve"> screened prior to </w:t>
      </w:r>
      <w:r>
        <w:t xml:space="preserve">starting </w:t>
      </w:r>
      <w:r w:rsidRPr="00A4692B">
        <w:t>school</w:t>
      </w:r>
      <w:r w:rsidR="00C113B9">
        <w:t>.</w:t>
      </w:r>
    </w:p>
    <w:p w14:paraId="1F67E27C" w14:textId="4EB337A6" w:rsidR="00D223D8" w:rsidRDefault="00D223D8" w:rsidP="00FB1825">
      <w:pPr>
        <w:pStyle w:val="BodyText"/>
      </w:pPr>
      <w:r>
        <w:rPr>
          <w:rFonts w:eastAsia="Calibri"/>
        </w:rPr>
        <w:lastRenderedPageBreak/>
        <w:t>Eye disorders are one of the most common long-term health problems experienced by Australian children</w:t>
      </w:r>
      <w:r w:rsidRPr="004573C8">
        <w:rPr>
          <w:rFonts w:eastAsia="Calibri"/>
          <w:vertAlign w:val="superscript"/>
        </w:rPr>
        <w:t xml:space="preserve"> </w:t>
      </w:r>
      <w:r>
        <w:rPr>
          <w:rStyle w:val="FootnoteReference"/>
          <w:rFonts w:eastAsia="Calibri"/>
        </w:rPr>
        <w:footnoteReference w:id="28"/>
      </w:r>
      <w:r>
        <w:t>. If left untreated, they can lead to vision loss or blindness, having a lasting impact throughout childhood and adult life.</w:t>
      </w:r>
      <w:r>
        <w:rPr>
          <w:rStyle w:val="FootnoteReference"/>
        </w:rPr>
        <w:footnoteReference w:id="29"/>
      </w:r>
    </w:p>
    <w:p w14:paraId="6F686B10" w14:textId="4C6AC8ED" w:rsidR="00D223D8" w:rsidRDefault="00D223D8" w:rsidP="00FB1825">
      <w:pPr>
        <w:pStyle w:val="BodyText"/>
        <w:rPr>
          <w:rFonts w:eastAsia="Calibri"/>
        </w:rPr>
      </w:pPr>
      <w:proofErr w:type="gramStart"/>
      <w:r>
        <w:t>Eighty-</w:t>
      </w:r>
      <w:r w:rsidRPr="658D5CD5">
        <w:t>percent</w:t>
      </w:r>
      <w:proofErr w:type="gramEnd"/>
      <w:r w:rsidRPr="658D5CD5">
        <w:t xml:space="preserve"> of a child’s learning occurs visually</w:t>
      </w:r>
      <w:r w:rsidRPr="658D5CD5">
        <w:rPr>
          <w:rStyle w:val="FootnoteReference"/>
          <w:rFonts w:asciiTheme="majorHAnsi" w:hAnsiTheme="majorHAnsi" w:cstheme="majorBidi"/>
        </w:rPr>
        <w:footnoteReference w:id="30"/>
      </w:r>
      <w:r w:rsidRPr="658D5CD5">
        <w:t xml:space="preserve">. If an eye condition goes undetected, it can have </w:t>
      </w:r>
      <w:r w:rsidRPr="00FB5C87">
        <w:rPr>
          <w:color w:val="222222"/>
        </w:rPr>
        <w:t xml:space="preserve">significant long-term effects on </w:t>
      </w:r>
      <w:r>
        <w:rPr>
          <w:color w:val="222222"/>
        </w:rPr>
        <w:t xml:space="preserve">a child’s </w:t>
      </w:r>
      <w:r w:rsidRPr="00FB5C87">
        <w:rPr>
          <w:color w:val="222222"/>
        </w:rPr>
        <w:t>sensory, cognitive, social and language development</w:t>
      </w:r>
      <w:r>
        <w:rPr>
          <w:color w:val="222222"/>
        </w:rPr>
        <w:t>.</w:t>
      </w:r>
      <w:r w:rsidRPr="00F52949">
        <w:rPr>
          <w:rStyle w:val="FootnoteReference"/>
        </w:rPr>
        <w:footnoteReference w:id="31"/>
      </w:r>
      <w:r w:rsidRPr="00F52949">
        <w:rPr>
          <w:rStyle w:val="FootnoteReference"/>
        </w:rPr>
        <w:t xml:space="preserve"> </w:t>
      </w:r>
    </w:p>
    <w:p w14:paraId="13E0319D" w14:textId="35914B10" w:rsidR="00D223D8" w:rsidRDefault="00D223D8" w:rsidP="00FB1825">
      <w:pPr>
        <w:pStyle w:val="BodyText"/>
      </w:pPr>
      <w:r>
        <w:t>Children</w:t>
      </w:r>
      <w:r w:rsidRPr="00EA5E97">
        <w:t xml:space="preserve"> with vision impairment have poorer educational outcomes, are less likely to attend school and more likely to face social exclusion and violence in the school environment.</w:t>
      </w:r>
      <w:r>
        <w:rPr>
          <w:rStyle w:val="FootnoteReference"/>
          <w:rFonts w:eastAsia="Calibri"/>
        </w:rPr>
        <w:footnoteReference w:id="32"/>
      </w:r>
    </w:p>
    <w:p w14:paraId="1ADBFD9F" w14:textId="77777777" w:rsidR="00D223D8" w:rsidRDefault="00D223D8" w:rsidP="00FB1825">
      <w:pPr>
        <w:pStyle w:val="BodyText"/>
      </w:pPr>
      <w:r>
        <w:t>Vision loss has life-long implications, i</w:t>
      </w:r>
      <w:r w:rsidRPr="006A6DB7">
        <w:t xml:space="preserve">n a study completed in 2016, Deloitte Access Economics found that a </w:t>
      </w:r>
      <w:proofErr w:type="gramStart"/>
      <w:r w:rsidRPr="006A6DB7">
        <w:t>17-year old</w:t>
      </w:r>
      <w:proofErr w:type="gramEnd"/>
      <w:r w:rsidRPr="006A6DB7">
        <w:t xml:space="preserve"> living in Australia with a vision impairment received $53,916 less in earnings than a person with clear vision.</w:t>
      </w:r>
    </w:p>
    <w:p w14:paraId="049D8F56" w14:textId="77777777" w:rsidR="00D223D8" w:rsidRDefault="00D223D8" w:rsidP="00FB1825">
      <w:pPr>
        <w:pStyle w:val="BodyText"/>
      </w:pPr>
      <w:r>
        <w:t>G</w:t>
      </w:r>
      <w:r w:rsidRPr="1567DEAA">
        <w:t>ood vision is</w:t>
      </w:r>
      <w:r>
        <w:t xml:space="preserve"> therefore</w:t>
      </w:r>
      <w:r w:rsidRPr="1567DEAA">
        <w:t xml:space="preserve"> integral to childhood development</w:t>
      </w:r>
      <w:r>
        <w:t xml:space="preserve">, </w:t>
      </w:r>
      <w:r w:rsidRPr="1567DEAA">
        <w:t>learning</w:t>
      </w:r>
      <w:r>
        <w:t xml:space="preserve"> and success later in life. Making it</w:t>
      </w:r>
      <w:r w:rsidRPr="1567DEAA">
        <w:t xml:space="preserve"> essential that conditions compromising children's vision are identified and treated early to minimise</w:t>
      </w:r>
      <w:r>
        <w:t xml:space="preserve"> </w:t>
      </w:r>
      <w:r w:rsidRPr="1567DEAA">
        <w:t xml:space="preserve">long-term </w:t>
      </w:r>
      <w:r>
        <w:t>impacts.</w:t>
      </w:r>
    </w:p>
    <w:p w14:paraId="2B90902A" w14:textId="21F962DB" w:rsidR="00D223D8" w:rsidRDefault="00D223D8" w:rsidP="00FB1825">
      <w:pPr>
        <w:pStyle w:val="BodyText"/>
      </w:pPr>
      <w:r>
        <w:t>Children’s v</w:t>
      </w:r>
      <w:r w:rsidRPr="1567DEAA">
        <w:t>ision screening programs</w:t>
      </w:r>
      <w:r>
        <w:t xml:space="preserve"> in Australia</w:t>
      </w:r>
      <w:r>
        <w:rPr>
          <w:rStyle w:val="FootnoteReference"/>
          <w:rFonts w:eastAsia="Calibri"/>
        </w:rPr>
        <w:footnoteReference w:id="33"/>
      </w:r>
      <w:r w:rsidRPr="1567DEAA">
        <w:t xml:space="preserve"> have demonstrated great </w:t>
      </w:r>
      <w:r>
        <w:t>return on investment and have been highly successful in decreasing blindness</w:t>
      </w:r>
      <w:r w:rsidRPr="1567DEAA">
        <w:t xml:space="preserve"> </w:t>
      </w:r>
      <w:r>
        <w:t>in children.</w:t>
      </w:r>
      <w:r>
        <w:rPr>
          <w:rStyle w:val="FootnoteReference"/>
          <w:rFonts w:eastAsia="Calibri"/>
        </w:rPr>
        <w:footnoteReference w:id="34"/>
      </w:r>
      <w:r>
        <w:t xml:space="preserve"> Outweighing associated health care costs.</w:t>
      </w:r>
      <w:r>
        <w:rPr>
          <w:rStyle w:val="FootnoteReference"/>
          <w:rFonts w:eastAsia="Calibri"/>
        </w:rPr>
        <w:footnoteReference w:id="35"/>
      </w:r>
    </w:p>
    <w:p w14:paraId="63F75E64" w14:textId="77777777" w:rsidR="00D223D8" w:rsidRDefault="00D223D8" w:rsidP="00FB1825">
      <w:pPr>
        <w:pStyle w:val="BodyText"/>
        <w:rPr>
          <w:rFonts w:eastAsia="Calibri"/>
        </w:rPr>
      </w:pPr>
      <w:r>
        <w:t>However, there is no consistent, evidence-based approach to screening children’s vision, resulting in different approaches in each jurisdiction and variations in outcomes.</w:t>
      </w:r>
    </w:p>
    <w:p w14:paraId="23ED18F1" w14:textId="77777777" w:rsidR="00D223D8" w:rsidRDefault="00D223D8" w:rsidP="00FB1825">
      <w:pPr>
        <w:pStyle w:val="BodyText"/>
      </w:pPr>
      <w:r w:rsidRPr="1567DEAA">
        <w:t xml:space="preserve">Vision 2020 Australia </w:t>
      </w:r>
      <w:r>
        <w:t>members recommend</w:t>
      </w:r>
      <w:r w:rsidRPr="1567DEAA">
        <w:t xml:space="preserve"> </w:t>
      </w:r>
      <w:r>
        <w:t>the development of a</w:t>
      </w:r>
      <w:r w:rsidRPr="1567DEAA">
        <w:t xml:space="preserve"> </w:t>
      </w:r>
      <w:r>
        <w:t>n</w:t>
      </w:r>
      <w:r w:rsidRPr="1567DEAA">
        <w:t xml:space="preserve">ational </w:t>
      </w:r>
      <w:r>
        <w:t>evidence-based f</w:t>
      </w:r>
      <w:r w:rsidRPr="1567DEAA">
        <w:t>ramework for</w:t>
      </w:r>
      <w:r>
        <w:t xml:space="preserve"> the early identification and management of vision and eye health problems in </w:t>
      </w:r>
      <w:r w:rsidRPr="1567DEAA">
        <w:t>3.5</w:t>
      </w:r>
      <w:r>
        <w:t xml:space="preserve"> to </w:t>
      </w:r>
      <w:r w:rsidRPr="1567DEAA">
        <w:t>5-year-old children</w:t>
      </w:r>
      <w:r>
        <w:t>.</w:t>
      </w:r>
    </w:p>
    <w:p w14:paraId="59E29DA1" w14:textId="77777777" w:rsidR="00D223D8" w:rsidRDefault="00D223D8" w:rsidP="00FB1825">
      <w:pPr>
        <w:pStyle w:val="BodyText"/>
      </w:pPr>
      <w:r>
        <w:t xml:space="preserve">Adopting a National Framework will provide a </w:t>
      </w:r>
      <w:r w:rsidRPr="1567DEAA">
        <w:t>cost-effective and robust approach to children’s vision screening in Australia</w:t>
      </w:r>
      <w:r>
        <w:t xml:space="preserve"> that will deliver benefits to future generations, helping d</w:t>
      </w:r>
      <w:r w:rsidRPr="1567DEAA">
        <w:t>etect vision disorders</w:t>
      </w:r>
      <w:r>
        <w:t xml:space="preserve"> </w:t>
      </w:r>
      <w:r w:rsidRPr="1567DEAA">
        <w:t xml:space="preserve">and prevent life-long vision loss in Australian children. </w:t>
      </w:r>
    </w:p>
    <w:p w14:paraId="128F58F7" w14:textId="4576033F" w:rsidR="00D223D8" w:rsidRPr="00EC1F3F" w:rsidRDefault="00D223D8" w:rsidP="00C723B7">
      <w:pPr>
        <w:pStyle w:val="Heading1"/>
      </w:pPr>
      <w:bookmarkStart w:id="22" w:name="_Toc90376278"/>
      <w:bookmarkEnd w:id="20"/>
      <w:bookmarkEnd w:id="21"/>
      <w:r w:rsidRPr="00EC1F3F">
        <w:lastRenderedPageBreak/>
        <w:t>Education for </w:t>
      </w:r>
      <w:r w:rsidR="0050447F">
        <w:t>students</w:t>
      </w:r>
      <w:r w:rsidRPr="00EC1F3F">
        <w:t xml:space="preserve"> who are </w:t>
      </w:r>
      <w:r>
        <w:t>b</w:t>
      </w:r>
      <w:r w:rsidRPr="00EC1F3F">
        <w:t xml:space="preserve">lind or </w:t>
      </w:r>
      <w:r>
        <w:t>h</w:t>
      </w:r>
      <w:r w:rsidRPr="00EC1F3F">
        <w:t xml:space="preserve">ave </w:t>
      </w:r>
      <w:r>
        <w:t>l</w:t>
      </w:r>
      <w:r w:rsidRPr="00EC1F3F">
        <w:t xml:space="preserve">ow </w:t>
      </w:r>
      <w:r>
        <w:t>v</w:t>
      </w:r>
      <w:r w:rsidRPr="00EC1F3F">
        <w:t>ision</w:t>
      </w:r>
      <w:bookmarkEnd w:id="22"/>
    </w:p>
    <w:p w14:paraId="6C7BEE4B" w14:textId="1CB2BC13" w:rsidR="00D223D8" w:rsidRPr="00C7464D" w:rsidRDefault="00982F13" w:rsidP="00FB1825">
      <w:pPr>
        <w:pStyle w:val="BodyText"/>
      </w:pPr>
      <w:r w:rsidRPr="00982F13">
        <w:rPr>
          <w:rStyle w:val="normaltextrun"/>
          <w:rFonts w:ascii="Arial" w:hAnsi="Arial"/>
          <w:szCs w:val="24"/>
        </w:rPr>
        <w:t>Implement the Expanded Core Curriculum nationally for students who are blind or have low vision and require universities to comply with accessible information and communications technology (ICT) procurement standards.</w:t>
      </w:r>
    </w:p>
    <w:p w14:paraId="47FB8B99" w14:textId="1739A825" w:rsidR="00D223D8" w:rsidRPr="00C7464D" w:rsidRDefault="00D223D8" w:rsidP="00FB1825">
      <w:pPr>
        <w:pStyle w:val="BodyText"/>
        <w:rPr>
          <w:rFonts w:ascii="Segoe UI" w:hAnsi="Segoe UI" w:cs="Segoe UI"/>
        </w:rPr>
      </w:pPr>
      <w:r w:rsidRPr="00C7464D">
        <w:rPr>
          <w:rStyle w:val="normaltextrun"/>
          <w:rFonts w:ascii="Arial" w:hAnsi="Arial"/>
          <w:szCs w:val="24"/>
        </w:rPr>
        <w:t>Students with disability have a right to access and participate in education on the same basis as students without disability</w:t>
      </w:r>
      <w:r w:rsidRPr="00C7464D">
        <w:rPr>
          <w:rStyle w:val="FootnoteReference"/>
          <w:szCs w:val="24"/>
        </w:rPr>
        <w:footnoteReference w:id="36"/>
      </w:r>
      <w:r w:rsidRPr="00C7464D">
        <w:t>.</w:t>
      </w:r>
    </w:p>
    <w:p w14:paraId="3704808D" w14:textId="77522E51" w:rsidR="00D223D8" w:rsidRPr="00C7464D" w:rsidRDefault="00D223D8" w:rsidP="00FB1825">
      <w:pPr>
        <w:pStyle w:val="BodyText"/>
        <w:rPr>
          <w:rStyle w:val="normaltextrun"/>
          <w:rFonts w:ascii="Arial" w:hAnsi="Arial"/>
          <w:szCs w:val="24"/>
        </w:rPr>
      </w:pPr>
      <w:r w:rsidRPr="00C7464D">
        <w:rPr>
          <w:rStyle w:val="normaltextrun"/>
          <w:rFonts w:ascii="Arial" w:hAnsi="Arial"/>
          <w:szCs w:val="24"/>
        </w:rPr>
        <w:t>Children who are blind or have low vision can encounter barriers to learning and may require a set of disability-specific skills to be able to fully access and engage with the school curriculum.</w:t>
      </w:r>
    </w:p>
    <w:p w14:paraId="0710C238" w14:textId="4D352752" w:rsidR="00D223D8" w:rsidRPr="00C7464D" w:rsidRDefault="00D223D8" w:rsidP="00FB1825">
      <w:pPr>
        <w:pStyle w:val="BodyText"/>
        <w:rPr>
          <w:rStyle w:val="normaltextrun"/>
          <w:rFonts w:ascii="Arial" w:hAnsi="Arial"/>
          <w:szCs w:val="24"/>
        </w:rPr>
      </w:pPr>
      <w:r w:rsidRPr="00C7464D">
        <w:rPr>
          <w:rStyle w:val="normaltextrun"/>
          <w:rFonts w:ascii="Arial" w:hAnsi="Arial"/>
          <w:szCs w:val="24"/>
        </w:rPr>
        <w:t>Strengthening education systems to support students who are blind or have low vision to access and participate in education on the same basis as students without a vision impairment is essential for improving all students’ educational outcomes, as identified in Australia’s Disability Strategy 2021-2031.</w:t>
      </w:r>
    </w:p>
    <w:p w14:paraId="3F2E799B" w14:textId="26C7D390" w:rsidR="00D223D8" w:rsidRPr="00C7464D" w:rsidRDefault="00D223D8" w:rsidP="00FB1825">
      <w:pPr>
        <w:pStyle w:val="BodyText"/>
        <w:rPr>
          <w:rStyle w:val="normaltextrun"/>
          <w:szCs w:val="24"/>
        </w:rPr>
      </w:pPr>
      <w:r w:rsidRPr="00C7464D">
        <w:rPr>
          <w:rStyle w:val="normaltextrun"/>
          <w:rFonts w:ascii="Arial" w:hAnsi="Arial"/>
          <w:szCs w:val="24"/>
        </w:rPr>
        <w:t>To address barriers, the Expanded Core Curriculum has been developed which identifies key areas where students can benefit from additional, targeted education by qualified specialist teachers, including assistive technology, career education and independent living, among others.</w:t>
      </w:r>
    </w:p>
    <w:p w14:paraId="01B042BC" w14:textId="5B0BF1C9" w:rsidR="00D223D8" w:rsidRPr="00C7464D" w:rsidRDefault="00D223D8" w:rsidP="00FB1825">
      <w:pPr>
        <w:pStyle w:val="BodyText"/>
        <w:rPr>
          <w:rStyle w:val="normaltextrun"/>
          <w:rFonts w:ascii="Segoe UI" w:hAnsi="Segoe UI" w:cs="Segoe UI"/>
          <w:szCs w:val="24"/>
        </w:rPr>
      </w:pPr>
      <w:r w:rsidRPr="00C7464D">
        <w:rPr>
          <w:rStyle w:val="normaltextrun"/>
          <w:rFonts w:ascii="Arial" w:hAnsi="Arial"/>
          <w:szCs w:val="24"/>
        </w:rPr>
        <w:t>The Expanded Core Curriculum is a methodical, proven approach used internationally, and in some parts of Australia. Research suggests that students who have been taught using its methodology enjoy better outcomes later in life.</w:t>
      </w:r>
    </w:p>
    <w:p w14:paraId="61FCD1FA" w14:textId="77777777" w:rsidR="00D223D8" w:rsidRDefault="00D223D8" w:rsidP="00FB1825">
      <w:pPr>
        <w:pStyle w:val="BodyText"/>
        <w:rPr>
          <w:rStyle w:val="normaltextrun"/>
          <w:rFonts w:ascii="Arial" w:hAnsi="Arial"/>
          <w:szCs w:val="24"/>
        </w:rPr>
      </w:pPr>
      <w:r w:rsidRPr="00C7464D">
        <w:rPr>
          <w:rStyle w:val="normaltextrun"/>
          <w:rFonts w:ascii="Arial" w:hAnsi="Arial"/>
          <w:szCs w:val="24"/>
        </w:rPr>
        <w:t>Implementing The Expanded Core Curriculum nationally and ensuring national benchmarks are created to monitor delivery, will ensure children who are blind or have low vision receive an education equivalent to their peers and have equal access to opportunities in adulthood.</w:t>
      </w:r>
    </w:p>
    <w:p w14:paraId="6A40E639" w14:textId="0047C09C" w:rsidR="00892277" w:rsidRPr="00892277" w:rsidRDefault="00892277" w:rsidP="00FB1825">
      <w:pPr>
        <w:pStyle w:val="BodyText"/>
        <w:rPr>
          <w:rStyle w:val="normaltextrun"/>
          <w:rFonts w:ascii="Arial" w:hAnsi="Arial"/>
          <w:szCs w:val="24"/>
        </w:rPr>
      </w:pPr>
      <w:r w:rsidRPr="00892277">
        <w:rPr>
          <w:rStyle w:val="normaltextrun"/>
          <w:rFonts w:ascii="Arial" w:hAnsi="Arial"/>
          <w:szCs w:val="24"/>
        </w:rPr>
        <w:t>People who are blind or have low vision are also more likely to gain employment if they are equipped with a tertiary qualification. But universities don’t always consider the access needs of people with vision disabilities when procuring information and communications technology.</w:t>
      </w:r>
    </w:p>
    <w:p w14:paraId="11871F41" w14:textId="46B2F3FB" w:rsidR="00892277" w:rsidRPr="00892277" w:rsidRDefault="00892277" w:rsidP="00FB1825">
      <w:pPr>
        <w:pStyle w:val="BodyText"/>
        <w:rPr>
          <w:rStyle w:val="normaltextrun"/>
          <w:rFonts w:ascii="Arial" w:hAnsi="Arial"/>
          <w:szCs w:val="24"/>
        </w:rPr>
      </w:pPr>
      <w:r w:rsidRPr="00892277">
        <w:rPr>
          <w:rStyle w:val="normaltextrun"/>
          <w:rFonts w:ascii="Arial" w:hAnsi="Arial"/>
          <w:szCs w:val="24"/>
        </w:rPr>
        <w:t xml:space="preserve">As a result, students face barriers such as complicated web interfaces, inaccessible </w:t>
      </w:r>
      <w:proofErr w:type="gramStart"/>
      <w:r w:rsidRPr="00892277">
        <w:rPr>
          <w:rStyle w:val="normaltextrun"/>
          <w:rFonts w:ascii="Arial" w:hAnsi="Arial"/>
          <w:szCs w:val="24"/>
        </w:rPr>
        <w:t>documents</w:t>
      </w:r>
      <w:proofErr w:type="gramEnd"/>
      <w:r w:rsidRPr="00892277">
        <w:rPr>
          <w:rStyle w:val="normaltextrun"/>
          <w:rFonts w:ascii="Arial" w:hAnsi="Arial"/>
          <w:szCs w:val="24"/>
        </w:rPr>
        <w:t xml:space="preserve"> and unusable digital submission systems. This makes it difficult to access learning materials or complete assessments, forcing some students to discontinue their study. </w:t>
      </w:r>
    </w:p>
    <w:p w14:paraId="7745AA2A" w14:textId="1435FF68" w:rsidR="00892277" w:rsidRPr="00C7464D" w:rsidRDefault="00892277" w:rsidP="00FB1825">
      <w:pPr>
        <w:pStyle w:val="BodyText"/>
        <w:rPr>
          <w:rStyle w:val="normaltextrun"/>
          <w:rFonts w:ascii="Arial" w:hAnsi="Arial"/>
          <w:szCs w:val="24"/>
        </w:rPr>
      </w:pPr>
      <w:r w:rsidRPr="00892277">
        <w:rPr>
          <w:rStyle w:val="normaltextrun"/>
          <w:rFonts w:ascii="Arial" w:hAnsi="Arial"/>
          <w:szCs w:val="24"/>
        </w:rPr>
        <w:t>Vision 2020 Australia calls on the Australian Government to set requirements for all publicly funded universities to comply with accessible information and communications technology procurement standards.</w:t>
      </w:r>
    </w:p>
    <w:p w14:paraId="1F5FE89E" w14:textId="77777777" w:rsidR="00070ED1" w:rsidRDefault="00070ED1" w:rsidP="00070ED1">
      <w:pPr>
        <w:pStyle w:val="Heading1"/>
      </w:pPr>
      <w:bookmarkStart w:id="23" w:name="_Toc81388479"/>
      <w:bookmarkStart w:id="24" w:name="_Toc90376279"/>
      <w:r w:rsidRPr="00315475">
        <w:lastRenderedPageBreak/>
        <w:t>Members</w:t>
      </w:r>
      <w:bookmarkEnd w:id="23"/>
      <w:bookmarkEnd w:id="24"/>
    </w:p>
    <w:p w14:paraId="3D6BABA6" w14:textId="77777777" w:rsidR="00070ED1" w:rsidRPr="00593A7E" w:rsidRDefault="00070ED1" w:rsidP="00070ED1">
      <w:pPr>
        <w:pStyle w:val="Heading2"/>
        <w:rPr>
          <w:rFonts w:eastAsiaTheme="minorHAnsi"/>
        </w:rPr>
      </w:pPr>
      <w:bookmarkStart w:id="25" w:name="_Toc529881089"/>
      <w:bookmarkStart w:id="26" w:name="_Toc81388480"/>
      <w:bookmarkStart w:id="27" w:name="_Toc90376280"/>
      <w:r w:rsidRPr="00593A7E">
        <w:rPr>
          <w:rFonts w:eastAsiaTheme="minorHAnsi"/>
        </w:rPr>
        <w:t>Principal member</w:t>
      </w:r>
      <w:bookmarkEnd w:id="25"/>
      <w:bookmarkEnd w:id="26"/>
      <w:bookmarkEnd w:id="27"/>
    </w:p>
    <w:p w14:paraId="66A4C642" w14:textId="7734B719" w:rsidR="00070ED1" w:rsidRPr="00551CA7" w:rsidRDefault="00070ED1" w:rsidP="00070ED1">
      <w:pPr>
        <w:pStyle w:val="ListBullet0"/>
        <w:rPr>
          <w:rFonts w:eastAsiaTheme="minorHAnsi"/>
        </w:rPr>
      </w:pPr>
      <w:r w:rsidRPr="00551CA7">
        <w:rPr>
          <w:rFonts w:eastAsiaTheme="minorHAnsi"/>
        </w:rPr>
        <w:t>The Fred Hollows Foundation</w:t>
      </w:r>
    </w:p>
    <w:p w14:paraId="5A56D2B4" w14:textId="77777777" w:rsidR="00070ED1" w:rsidRPr="00593A7E" w:rsidRDefault="00070ED1" w:rsidP="00070ED1">
      <w:pPr>
        <w:pStyle w:val="Heading2"/>
        <w:rPr>
          <w:rFonts w:eastAsiaTheme="minorHAnsi"/>
        </w:rPr>
      </w:pPr>
      <w:bookmarkStart w:id="28" w:name="_Toc529881090"/>
      <w:bookmarkStart w:id="29" w:name="_Toc81388481"/>
      <w:bookmarkStart w:id="30" w:name="_Toc90376281"/>
      <w:r w:rsidRPr="00593A7E">
        <w:rPr>
          <w:rFonts w:eastAsiaTheme="minorHAnsi"/>
        </w:rPr>
        <w:t>Corporate member</w:t>
      </w:r>
      <w:bookmarkEnd w:id="28"/>
      <w:bookmarkEnd w:id="29"/>
      <w:bookmarkEnd w:id="30"/>
    </w:p>
    <w:p w14:paraId="4FDE1F7A" w14:textId="77777777" w:rsidR="00070ED1" w:rsidRPr="00F16574" w:rsidRDefault="00070ED1" w:rsidP="00070ED1">
      <w:pPr>
        <w:pStyle w:val="ListBullet0"/>
        <w:rPr>
          <w:rFonts w:eastAsiaTheme="minorHAnsi"/>
        </w:rPr>
      </w:pPr>
      <w:r>
        <w:rPr>
          <w:rFonts w:eastAsiaTheme="minorHAnsi"/>
        </w:rPr>
        <w:t>Novartis Pharmaceuticals Australia/NZ</w:t>
      </w:r>
    </w:p>
    <w:p w14:paraId="176A6E3A" w14:textId="77777777" w:rsidR="00070ED1" w:rsidRPr="00593A7E" w:rsidRDefault="00070ED1" w:rsidP="00070ED1">
      <w:pPr>
        <w:pStyle w:val="Heading2"/>
        <w:rPr>
          <w:rFonts w:eastAsiaTheme="minorHAnsi"/>
        </w:rPr>
      </w:pPr>
      <w:bookmarkStart w:id="31" w:name="_Toc499036876"/>
      <w:bookmarkStart w:id="32" w:name="_Toc529881092"/>
      <w:bookmarkStart w:id="33" w:name="_Toc81388482"/>
      <w:bookmarkStart w:id="34" w:name="_Toc90376282"/>
      <w:r w:rsidRPr="00593A7E">
        <w:rPr>
          <w:rFonts w:eastAsiaTheme="minorHAnsi"/>
        </w:rPr>
        <w:t>Silver members</w:t>
      </w:r>
      <w:bookmarkEnd w:id="31"/>
      <w:bookmarkEnd w:id="32"/>
      <w:bookmarkEnd w:id="33"/>
      <w:bookmarkEnd w:id="34"/>
    </w:p>
    <w:p w14:paraId="691377EA" w14:textId="77777777" w:rsidR="00070ED1" w:rsidRDefault="00070ED1" w:rsidP="00070ED1">
      <w:pPr>
        <w:pStyle w:val="ListBullet0"/>
        <w:spacing w:after="120" w:line="240" w:lineRule="auto"/>
        <w:rPr>
          <w:rFonts w:eastAsiaTheme="minorHAnsi"/>
        </w:rPr>
      </w:pPr>
      <w:r>
        <w:rPr>
          <w:rFonts w:eastAsiaTheme="minorHAnsi"/>
        </w:rPr>
        <w:t>Optometry Australia</w:t>
      </w:r>
    </w:p>
    <w:p w14:paraId="2AEC4BD6" w14:textId="3C613DBB" w:rsidR="00070ED1" w:rsidRDefault="00070ED1" w:rsidP="00070ED1">
      <w:pPr>
        <w:pStyle w:val="ListBullet0"/>
        <w:spacing w:after="120" w:line="240" w:lineRule="auto"/>
        <w:rPr>
          <w:rFonts w:eastAsiaTheme="minorHAnsi"/>
        </w:rPr>
      </w:pPr>
      <w:r>
        <w:rPr>
          <w:rFonts w:eastAsiaTheme="minorHAnsi"/>
        </w:rPr>
        <w:t>The Royal Australian and New Zealand College of Ophthalmologists</w:t>
      </w:r>
    </w:p>
    <w:p w14:paraId="462625F0" w14:textId="77777777" w:rsidR="00070ED1" w:rsidRPr="00593A7E" w:rsidRDefault="00070ED1" w:rsidP="00070ED1">
      <w:pPr>
        <w:pStyle w:val="Heading2"/>
        <w:rPr>
          <w:rFonts w:eastAsiaTheme="minorHAnsi"/>
        </w:rPr>
      </w:pPr>
      <w:bookmarkStart w:id="35" w:name="_Toc499036877"/>
      <w:bookmarkStart w:id="36" w:name="_Toc529881093"/>
      <w:bookmarkStart w:id="37" w:name="_Toc81388483"/>
      <w:bookmarkStart w:id="38" w:name="_Toc90376283"/>
      <w:r w:rsidRPr="00593A7E">
        <w:rPr>
          <w:rFonts w:eastAsiaTheme="minorHAnsi"/>
        </w:rPr>
        <w:t>Bronze members</w:t>
      </w:r>
      <w:bookmarkEnd w:id="35"/>
      <w:bookmarkEnd w:id="36"/>
      <w:bookmarkEnd w:id="37"/>
      <w:bookmarkEnd w:id="38"/>
    </w:p>
    <w:p w14:paraId="408A2FD2" w14:textId="798A0E50" w:rsidR="00070ED1" w:rsidRPr="00BD2536" w:rsidRDefault="00070ED1" w:rsidP="00070ED1">
      <w:pPr>
        <w:pStyle w:val="ListBullet0"/>
        <w:spacing w:after="120" w:line="240" w:lineRule="auto"/>
        <w:rPr>
          <w:rFonts w:eastAsiaTheme="minorHAnsi"/>
        </w:rPr>
      </w:pPr>
      <w:r>
        <w:rPr>
          <w:rFonts w:eastAsiaTheme="minorHAnsi"/>
        </w:rPr>
        <w:t>CBM Australia</w:t>
      </w:r>
    </w:p>
    <w:p w14:paraId="105957A5" w14:textId="77777777" w:rsidR="00070ED1" w:rsidRPr="009A1B1A" w:rsidRDefault="00070ED1" w:rsidP="00070ED1">
      <w:pPr>
        <w:pStyle w:val="ListBullet0"/>
        <w:spacing w:after="120" w:line="240" w:lineRule="auto"/>
        <w:rPr>
          <w:rFonts w:eastAsiaTheme="minorHAnsi"/>
        </w:rPr>
      </w:pPr>
      <w:r>
        <w:rPr>
          <w:rFonts w:eastAsiaTheme="minorHAnsi"/>
        </w:rPr>
        <w:t>The Royal Victorian Eye and Ear Hospital</w:t>
      </w:r>
    </w:p>
    <w:p w14:paraId="4E840BF0" w14:textId="77777777" w:rsidR="00070ED1" w:rsidRPr="00593A7E" w:rsidRDefault="00070ED1" w:rsidP="00070ED1">
      <w:pPr>
        <w:pStyle w:val="Heading2"/>
        <w:rPr>
          <w:rFonts w:eastAsiaTheme="minorHAnsi"/>
        </w:rPr>
      </w:pPr>
      <w:bookmarkStart w:id="39" w:name="_Toc499036878"/>
      <w:bookmarkStart w:id="40" w:name="_Toc529881094"/>
      <w:bookmarkStart w:id="41" w:name="_Toc81388484"/>
      <w:bookmarkStart w:id="42" w:name="_Toc90376284"/>
      <w:r w:rsidRPr="00593A7E">
        <w:rPr>
          <w:rFonts w:eastAsiaTheme="minorHAnsi"/>
        </w:rPr>
        <w:t xml:space="preserve">Major </w:t>
      </w:r>
      <w:r>
        <w:rPr>
          <w:rFonts w:eastAsiaTheme="minorHAnsi"/>
        </w:rPr>
        <w:t>s</w:t>
      </w:r>
      <w:r w:rsidRPr="00593A7E">
        <w:rPr>
          <w:rFonts w:eastAsiaTheme="minorHAnsi"/>
        </w:rPr>
        <w:t>upporting members</w:t>
      </w:r>
      <w:bookmarkEnd w:id="39"/>
      <w:bookmarkEnd w:id="40"/>
      <w:bookmarkEnd w:id="41"/>
      <w:bookmarkEnd w:id="42"/>
    </w:p>
    <w:p w14:paraId="3ACADC77" w14:textId="77777777" w:rsidR="00070ED1" w:rsidRDefault="00070ED1" w:rsidP="00070ED1">
      <w:pPr>
        <w:pStyle w:val="ListBullet0"/>
        <w:spacing w:after="120" w:line="240" w:lineRule="auto"/>
        <w:rPr>
          <w:rFonts w:eastAsiaTheme="minorHAnsi"/>
        </w:rPr>
      </w:pPr>
      <w:r>
        <w:rPr>
          <w:rFonts w:eastAsiaTheme="minorHAnsi"/>
        </w:rPr>
        <w:t>Australian College of Optometry</w:t>
      </w:r>
    </w:p>
    <w:p w14:paraId="137898C0" w14:textId="77777777" w:rsidR="00070ED1" w:rsidRDefault="00070ED1" w:rsidP="00070ED1">
      <w:pPr>
        <w:pStyle w:val="ListBullet0"/>
        <w:rPr>
          <w:rFonts w:eastAsiaTheme="minorHAnsi"/>
        </w:rPr>
      </w:pPr>
      <w:r>
        <w:rPr>
          <w:rFonts w:eastAsiaTheme="minorHAnsi"/>
        </w:rPr>
        <w:t>Brien Holden Foundation</w:t>
      </w:r>
    </w:p>
    <w:p w14:paraId="1488B739" w14:textId="77777777" w:rsidR="00070ED1" w:rsidRDefault="00070ED1" w:rsidP="00070ED1">
      <w:pPr>
        <w:pStyle w:val="ListBullet0"/>
        <w:spacing w:after="120" w:line="240" w:lineRule="auto"/>
        <w:rPr>
          <w:rFonts w:eastAsiaTheme="minorHAnsi"/>
        </w:rPr>
      </w:pPr>
      <w:r>
        <w:rPr>
          <w:rFonts w:eastAsiaTheme="minorHAnsi"/>
        </w:rPr>
        <w:t>Centre for Eye Research Australia</w:t>
      </w:r>
    </w:p>
    <w:p w14:paraId="5BE9C565" w14:textId="77777777" w:rsidR="00070ED1" w:rsidRDefault="00070ED1" w:rsidP="00070ED1">
      <w:pPr>
        <w:pStyle w:val="ListBullet0"/>
        <w:spacing w:after="120" w:line="240" w:lineRule="auto"/>
        <w:rPr>
          <w:rFonts w:eastAsiaTheme="minorEastAsia"/>
        </w:rPr>
      </w:pPr>
      <w:proofErr w:type="spellStart"/>
      <w:r w:rsidRPr="328FA6CB">
        <w:rPr>
          <w:rFonts w:eastAsiaTheme="minorEastAsia"/>
        </w:rPr>
        <w:t>EverAbility</w:t>
      </w:r>
      <w:proofErr w:type="spellEnd"/>
      <w:r w:rsidRPr="328FA6CB">
        <w:rPr>
          <w:rFonts w:eastAsiaTheme="minorEastAsia"/>
        </w:rPr>
        <w:t xml:space="preserve"> Group</w:t>
      </w:r>
    </w:p>
    <w:p w14:paraId="32469CAB" w14:textId="77777777" w:rsidR="00070ED1" w:rsidRDefault="00070ED1" w:rsidP="00070ED1">
      <w:pPr>
        <w:pStyle w:val="ListBullet0"/>
        <w:spacing w:after="120" w:line="240" w:lineRule="auto"/>
        <w:rPr>
          <w:rFonts w:eastAsiaTheme="minorHAnsi"/>
        </w:rPr>
      </w:pPr>
      <w:r>
        <w:rPr>
          <w:rFonts w:eastAsiaTheme="minorHAnsi"/>
        </w:rPr>
        <w:t>Royal Australasian College of Surgeons</w:t>
      </w:r>
    </w:p>
    <w:p w14:paraId="59F511F4" w14:textId="40541C08" w:rsidR="00070ED1" w:rsidRPr="00F16574" w:rsidRDefault="00070ED1" w:rsidP="00070ED1">
      <w:pPr>
        <w:pStyle w:val="Heading2"/>
        <w:rPr>
          <w:rFonts w:cs="Times New Roman"/>
        </w:rPr>
      </w:pPr>
      <w:bookmarkStart w:id="43" w:name="_Toc499036879"/>
      <w:bookmarkStart w:id="44" w:name="_Toc529881095"/>
      <w:bookmarkStart w:id="45" w:name="_Toc81388485"/>
      <w:bookmarkStart w:id="46" w:name="_Toc90376285"/>
      <w:r w:rsidRPr="00F16574">
        <w:t>Supporting members</w:t>
      </w:r>
      <w:bookmarkEnd w:id="43"/>
      <w:bookmarkEnd w:id="44"/>
      <w:bookmarkEnd w:id="45"/>
      <w:bookmarkEnd w:id="46"/>
    </w:p>
    <w:p w14:paraId="29BEA292" w14:textId="77777777" w:rsidR="00070ED1" w:rsidRDefault="00070ED1" w:rsidP="00070ED1">
      <w:pPr>
        <w:pStyle w:val="ListBullet0"/>
        <w:spacing w:after="120" w:line="240" w:lineRule="auto"/>
        <w:rPr>
          <w:rFonts w:eastAsiaTheme="minorHAnsi"/>
        </w:rPr>
      </w:pPr>
      <w:r w:rsidRPr="0011436B">
        <w:rPr>
          <w:rFonts w:eastAsiaTheme="minorHAnsi"/>
        </w:rPr>
        <w:t>Australian Society of Ophthalmologists</w:t>
      </w:r>
    </w:p>
    <w:p w14:paraId="116F8838" w14:textId="77777777" w:rsidR="00070ED1" w:rsidRDefault="00070ED1" w:rsidP="00070ED1">
      <w:pPr>
        <w:pStyle w:val="ListBullet0"/>
        <w:spacing w:after="120" w:line="240" w:lineRule="auto"/>
        <w:rPr>
          <w:rFonts w:eastAsiaTheme="minorHAnsi"/>
        </w:rPr>
      </w:pPr>
      <w:r>
        <w:rPr>
          <w:rFonts w:eastAsiaTheme="minorHAnsi"/>
        </w:rPr>
        <w:t>Beyond Blindness</w:t>
      </w:r>
    </w:p>
    <w:p w14:paraId="7EC98343" w14:textId="77777777" w:rsidR="00070ED1" w:rsidRDefault="00070ED1" w:rsidP="00070ED1">
      <w:pPr>
        <w:pStyle w:val="ListBullet0"/>
        <w:spacing w:after="120" w:line="240" w:lineRule="auto"/>
        <w:rPr>
          <w:rFonts w:eastAsiaTheme="minorHAnsi"/>
        </w:rPr>
      </w:pPr>
      <w:r>
        <w:rPr>
          <w:rFonts w:eastAsiaTheme="minorHAnsi"/>
        </w:rPr>
        <w:t>Guide Dogs NSW/ACT</w:t>
      </w:r>
    </w:p>
    <w:p w14:paraId="13BDA704" w14:textId="77777777" w:rsidR="00070ED1" w:rsidRPr="004F4C6D" w:rsidRDefault="00070ED1" w:rsidP="00070ED1">
      <w:pPr>
        <w:pStyle w:val="ListBullet0"/>
        <w:spacing w:after="120" w:line="240" w:lineRule="auto"/>
      </w:pPr>
      <w:r w:rsidRPr="004F4C6D">
        <w:t>Guide Dogs Queensland</w:t>
      </w:r>
    </w:p>
    <w:p w14:paraId="6DBCF9BA" w14:textId="77777777" w:rsidR="00070ED1" w:rsidRPr="0011436B" w:rsidRDefault="00070ED1" w:rsidP="00070ED1">
      <w:pPr>
        <w:pStyle w:val="ListBullet0"/>
        <w:spacing w:after="120" w:line="240" w:lineRule="auto"/>
        <w:rPr>
          <w:rFonts w:eastAsiaTheme="minorHAnsi"/>
        </w:rPr>
      </w:pPr>
      <w:r>
        <w:rPr>
          <w:rFonts w:eastAsiaTheme="minorHAnsi"/>
        </w:rPr>
        <w:t>Guide Dogs Victoria</w:t>
      </w:r>
    </w:p>
    <w:p w14:paraId="05C53408" w14:textId="77777777" w:rsidR="00070ED1" w:rsidRDefault="00070ED1" w:rsidP="00070ED1">
      <w:pPr>
        <w:pStyle w:val="ListBullet0"/>
        <w:spacing w:after="120" w:line="240" w:lineRule="auto"/>
        <w:rPr>
          <w:rFonts w:eastAsiaTheme="minorHAnsi"/>
        </w:rPr>
      </w:pPr>
      <w:r>
        <w:rPr>
          <w:rFonts w:eastAsiaTheme="minorHAnsi"/>
        </w:rPr>
        <w:t>Indigenous Diabetes Eyes Screening (IDEAS)</w:t>
      </w:r>
    </w:p>
    <w:p w14:paraId="7969DA43" w14:textId="77777777" w:rsidR="00070ED1" w:rsidRPr="0011436B" w:rsidRDefault="00070ED1" w:rsidP="00070ED1">
      <w:pPr>
        <w:pStyle w:val="ListBullet0"/>
        <w:spacing w:after="120" w:line="240" w:lineRule="auto"/>
        <w:rPr>
          <w:rFonts w:eastAsiaTheme="minorEastAsia"/>
        </w:rPr>
      </w:pPr>
      <w:r w:rsidRPr="328FA6CB">
        <w:rPr>
          <w:rFonts w:eastAsiaTheme="minorEastAsia"/>
        </w:rPr>
        <w:t>Lions Eye Health Program</w:t>
      </w:r>
    </w:p>
    <w:p w14:paraId="6CE747DB" w14:textId="77777777" w:rsidR="00070ED1" w:rsidRDefault="00070ED1" w:rsidP="00070ED1">
      <w:pPr>
        <w:pStyle w:val="ListBullet0"/>
        <w:spacing w:after="120" w:line="240" w:lineRule="auto"/>
        <w:rPr>
          <w:rFonts w:eastAsiaTheme="minorHAnsi"/>
        </w:rPr>
      </w:pPr>
      <w:r>
        <w:rPr>
          <w:rFonts w:eastAsiaTheme="minorHAnsi"/>
        </w:rPr>
        <w:t>Lions Eye Institute (LEI)</w:t>
      </w:r>
    </w:p>
    <w:p w14:paraId="7FBC7EC9" w14:textId="77777777" w:rsidR="00070ED1" w:rsidRDefault="00070ED1" w:rsidP="00070ED1">
      <w:pPr>
        <w:pStyle w:val="ListBullet0"/>
        <w:spacing w:after="120" w:line="240" w:lineRule="auto"/>
        <w:rPr>
          <w:rFonts w:eastAsiaTheme="minorHAnsi"/>
        </w:rPr>
      </w:pPr>
      <w:proofErr w:type="spellStart"/>
      <w:r>
        <w:rPr>
          <w:rFonts w:eastAsiaTheme="minorHAnsi"/>
        </w:rPr>
        <w:t>OneSight</w:t>
      </w:r>
      <w:proofErr w:type="spellEnd"/>
      <w:r>
        <w:rPr>
          <w:rFonts w:eastAsiaTheme="minorHAnsi"/>
        </w:rPr>
        <w:t xml:space="preserve"> </w:t>
      </w:r>
    </w:p>
    <w:p w14:paraId="7D58EA50" w14:textId="77777777" w:rsidR="00070ED1" w:rsidRDefault="00070ED1" w:rsidP="00070ED1">
      <w:pPr>
        <w:pStyle w:val="ListBullet0"/>
        <w:spacing w:after="120" w:line="240" w:lineRule="auto"/>
        <w:rPr>
          <w:rFonts w:eastAsiaTheme="minorHAnsi"/>
        </w:rPr>
      </w:pPr>
      <w:r>
        <w:rPr>
          <w:rFonts w:eastAsiaTheme="minorHAnsi"/>
        </w:rPr>
        <w:t>Orthoptics Australia</w:t>
      </w:r>
    </w:p>
    <w:p w14:paraId="572204A9" w14:textId="77777777" w:rsidR="00070ED1" w:rsidRPr="000A64EB" w:rsidRDefault="00070ED1" w:rsidP="00070ED1">
      <w:pPr>
        <w:pStyle w:val="ListBullet0"/>
        <w:spacing w:after="120" w:line="240" w:lineRule="auto"/>
        <w:rPr>
          <w:rFonts w:eastAsiaTheme="minorHAnsi"/>
        </w:rPr>
      </w:pPr>
      <w:r>
        <w:rPr>
          <w:rFonts w:eastAsiaTheme="minorHAnsi"/>
        </w:rPr>
        <w:t>The Royal Society for the Blind</w:t>
      </w:r>
    </w:p>
    <w:p w14:paraId="4F199C23" w14:textId="77777777" w:rsidR="00070ED1" w:rsidRPr="009A1B1A" w:rsidRDefault="00070ED1" w:rsidP="00070ED1">
      <w:pPr>
        <w:pStyle w:val="ListBullet0"/>
        <w:spacing w:after="120" w:line="240" w:lineRule="auto"/>
        <w:rPr>
          <w:rFonts w:eastAsiaTheme="minorHAnsi"/>
        </w:rPr>
      </w:pPr>
      <w:r>
        <w:rPr>
          <w:rFonts w:eastAsiaTheme="minorHAnsi"/>
        </w:rPr>
        <w:t>Vision Australia</w:t>
      </w:r>
    </w:p>
    <w:p w14:paraId="2487D544" w14:textId="77777777" w:rsidR="00070ED1" w:rsidRPr="00593A7E" w:rsidRDefault="00070ED1" w:rsidP="00070ED1">
      <w:pPr>
        <w:pStyle w:val="Heading2"/>
        <w:rPr>
          <w:rFonts w:eastAsiaTheme="minorHAnsi"/>
        </w:rPr>
      </w:pPr>
      <w:bookmarkStart w:id="47" w:name="_Toc499036880"/>
      <w:bookmarkStart w:id="48" w:name="_Toc529881096"/>
      <w:bookmarkStart w:id="49" w:name="_Toc81388486"/>
      <w:bookmarkStart w:id="50" w:name="_Toc90376286"/>
      <w:r w:rsidRPr="00593A7E">
        <w:rPr>
          <w:rFonts w:eastAsiaTheme="minorHAnsi"/>
        </w:rPr>
        <w:t>Corresponding members</w:t>
      </w:r>
      <w:bookmarkEnd w:id="47"/>
      <w:bookmarkEnd w:id="48"/>
      <w:bookmarkEnd w:id="49"/>
      <w:bookmarkEnd w:id="50"/>
    </w:p>
    <w:p w14:paraId="0A0D506C" w14:textId="77777777" w:rsidR="00070ED1" w:rsidRDefault="00070ED1" w:rsidP="00070ED1">
      <w:pPr>
        <w:pStyle w:val="ListBullet0"/>
        <w:spacing w:after="120" w:line="240" w:lineRule="auto"/>
        <w:rPr>
          <w:rFonts w:eastAsiaTheme="minorHAnsi"/>
        </w:rPr>
      </w:pPr>
      <w:r>
        <w:rPr>
          <w:rFonts w:eastAsiaTheme="minorHAnsi"/>
        </w:rPr>
        <w:t>Aboriginal Health Council of South Australia</w:t>
      </w:r>
    </w:p>
    <w:p w14:paraId="3BD2F3FC" w14:textId="77777777" w:rsidR="00070ED1" w:rsidRDefault="00070ED1" w:rsidP="00070ED1">
      <w:pPr>
        <w:pStyle w:val="ListBullet0"/>
        <w:spacing w:after="120" w:line="240" w:lineRule="auto"/>
        <w:rPr>
          <w:rFonts w:eastAsiaTheme="minorHAnsi"/>
        </w:rPr>
      </w:pPr>
      <w:r>
        <w:rPr>
          <w:rFonts w:eastAsiaTheme="minorHAnsi"/>
        </w:rPr>
        <w:t>Aboriginal Health and Medical Research Council</w:t>
      </w:r>
    </w:p>
    <w:p w14:paraId="26E6DF98" w14:textId="77777777" w:rsidR="00070ED1" w:rsidRPr="002D4D98" w:rsidRDefault="00070ED1" w:rsidP="00070ED1">
      <w:pPr>
        <w:pStyle w:val="ListBullet0"/>
        <w:spacing w:after="120" w:line="240" w:lineRule="auto"/>
        <w:rPr>
          <w:rFonts w:eastAsiaTheme="minorHAnsi"/>
        </w:rPr>
      </w:pPr>
      <w:r>
        <w:rPr>
          <w:rFonts w:eastAsiaTheme="minorHAnsi"/>
        </w:rPr>
        <w:lastRenderedPageBreak/>
        <w:t>Blind Citizens Australia</w:t>
      </w:r>
    </w:p>
    <w:p w14:paraId="021C83EB" w14:textId="77777777" w:rsidR="00070ED1" w:rsidRDefault="00070ED1" w:rsidP="00070ED1">
      <w:pPr>
        <w:pStyle w:val="ListBullet0"/>
        <w:spacing w:after="120" w:line="240" w:lineRule="auto"/>
        <w:rPr>
          <w:rFonts w:eastAsiaTheme="minorHAnsi"/>
        </w:rPr>
      </w:pPr>
      <w:r>
        <w:rPr>
          <w:rFonts w:eastAsiaTheme="minorHAnsi"/>
        </w:rPr>
        <w:t>Brien Holden Vision Institute</w:t>
      </w:r>
    </w:p>
    <w:p w14:paraId="1AFD7C9B" w14:textId="77777777" w:rsidR="00070ED1" w:rsidRDefault="00070ED1" w:rsidP="00070ED1">
      <w:pPr>
        <w:pStyle w:val="ListBullet0"/>
        <w:spacing w:after="120" w:line="240" w:lineRule="auto"/>
        <w:rPr>
          <w:rFonts w:eastAsiaTheme="minorEastAsia"/>
        </w:rPr>
      </w:pPr>
      <w:proofErr w:type="gramStart"/>
      <w:r w:rsidRPr="328FA6CB">
        <w:rPr>
          <w:rFonts w:eastAsiaTheme="minorEastAsia"/>
        </w:rPr>
        <w:t>Can:Do</w:t>
      </w:r>
      <w:proofErr w:type="gramEnd"/>
      <w:r w:rsidRPr="328FA6CB">
        <w:rPr>
          <w:rFonts w:eastAsiaTheme="minorEastAsia"/>
        </w:rPr>
        <w:t>4Kids</w:t>
      </w:r>
    </w:p>
    <w:p w14:paraId="09A1FC90" w14:textId="77777777" w:rsidR="00070ED1" w:rsidRDefault="00070ED1" w:rsidP="00070ED1">
      <w:pPr>
        <w:pStyle w:val="ListBullet0"/>
        <w:spacing w:after="120" w:line="240" w:lineRule="auto"/>
        <w:rPr>
          <w:rFonts w:eastAsiaTheme="minorHAnsi"/>
        </w:rPr>
      </w:pPr>
      <w:r>
        <w:rPr>
          <w:rFonts w:eastAsiaTheme="minorHAnsi"/>
        </w:rPr>
        <w:t>Diabetes Australia</w:t>
      </w:r>
    </w:p>
    <w:p w14:paraId="2662D7E9" w14:textId="77777777" w:rsidR="00070ED1" w:rsidRDefault="00070ED1" w:rsidP="00070ED1">
      <w:pPr>
        <w:pStyle w:val="ListBullet0"/>
        <w:spacing w:after="120" w:line="240" w:lineRule="auto"/>
        <w:rPr>
          <w:rFonts w:eastAsiaTheme="minorEastAsia"/>
        </w:rPr>
      </w:pPr>
      <w:r w:rsidRPr="328FA6CB">
        <w:rPr>
          <w:rFonts w:eastAsiaTheme="minorEastAsia"/>
        </w:rPr>
        <w:t>Foresight Australia</w:t>
      </w:r>
    </w:p>
    <w:p w14:paraId="3901D6F1" w14:textId="77777777" w:rsidR="00070ED1" w:rsidRDefault="00070ED1" w:rsidP="00070ED1">
      <w:pPr>
        <w:pStyle w:val="ListBullet0"/>
        <w:spacing w:after="120" w:line="240" w:lineRule="auto"/>
        <w:rPr>
          <w:rFonts w:eastAsiaTheme="minorEastAsia"/>
        </w:rPr>
      </w:pPr>
      <w:proofErr w:type="spellStart"/>
      <w:r w:rsidRPr="328FA6CB">
        <w:rPr>
          <w:rFonts w:eastAsiaTheme="minorEastAsia"/>
        </w:rPr>
        <w:t>Minum</w:t>
      </w:r>
      <w:proofErr w:type="spellEnd"/>
      <w:r w:rsidRPr="328FA6CB">
        <w:rPr>
          <w:rFonts w:eastAsiaTheme="minorEastAsia"/>
        </w:rPr>
        <w:t xml:space="preserve"> </w:t>
      </w:r>
      <w:proofErr w:type="spellStart"/>
      <w:r w:rsidRPr="328FA6CB">
        <w:rPr>
          <w:rFonts w:eastAsiaTheme="minorEastAsia"/>
        </w:rPr>
        <w:t>Barreng</w:t>
      </w:r>
      <w:proofErr w:type="spellEnd"/>
      <w:r w:rsidRPr="328FA6CB">
        <w:rPr>
          <w:rFonts w:eastAsiaTheme="minorEastAsia"/>
        </w:rPr>
        <w:t xml:space="preserve"> Indigenous Eye Health Unit, Melbourne School of Population Health </w:t>
      </w:r>
    </w:p>
    <w:p w14:paraId="169FB877" w14:textId="77777777" w:rsidR="00070ED1" w:rsidRDefault="00070ED1" w:rsidP="00070ED1">
      <w:pPr>
        <w:pStyle w:val="ListBullet0"/>
        <w:spacing w:after="120" w:line="240" w:lineRule="auto"/>
        <w:rPr>
          <w:rFonts w:eastAsiaTheme="minorHAnsi"/>
        </w:rPr>
      </w:pPr>
      <w:r>
        <w:rPr>
          <w:rFonts w:eastAsiaTheme="minorHAnsi"/>
        </w:rPr>
        <w:t>Macular Disease Foundation Australia</w:t>
      </w:r>
    </w:p>
    <w:p w14:paraId="087469B4" w14:textId="77777777" w:rsidR="00070ED1" w:rsidRDefault="00070ED1" w:rsidP="00070ED1">
      <w:pPr>
        <w:pStyle w:val="ListBullet0"/>
        <w:spacing w:after="120" w:line="240" w:lineRule="auto"/>
        <w:rPr>
          <w:rFonts w:eastAsiaTheme="minorHAnsi"/>
        </w:rPr>
      </w:pPr>
      <w:proofErr w:type="spellStart"/>
      <w:r>
        <w:rPr>
          <w:rFonts w:eastAsiaTheme="minorHAnsi"/>
        </w:rPr>
        <w:t>NextSense</w:t>
      </w:r>
      <w:proofErr w:type="spellEnd"/>
    </w:p>
    <w:p w14:paraId="7507C1E7" w14:textId="77777777" w:rsidR="00070ED1" w:rsidRDefault="00070ED1" w:rsidP="00070ED1">
      <w:pPr>
        <w:pStyle w:val="ListBullet0"/>
        <w:spacing w:after="120" w:line="240" w:lineRule="auto"/>
        <w:rPr>
          <w:rFonts w:eastAsiaTheme="minorHAnsi"/>
        </w:rPr>
      </w:pPr>
      <w:r>
        <w:rPr>
          <w:rFonts w:eastAsiaTheme="minorHAnsi"/>
        </w:rPr>
        <w:t>Optical Distributors &amp; Manufacturers Australia</w:t>
      </w:r>
    </w:p>
    <w:p w14:paraId="45A6BEDE" w14:textId="77777777" w:rsidR="00070ED1" w:rsidRDefault="00070ED1" w:rsidP="00070ED1">
      <w:pPr>
        <w:pStyle w:val="ListBullet0"/>
        <w:spacing w:after="120" w:line="240" w:lineRule="auto"/>
        <w:rPr>
          <w:rFonts w:eastAsiaTheme="minorHAnsi"/>
        </w:rPr>
      </w:pPr>
      <w:r>
        <w:rPr>
          <w:rFonts w:eastAsiaTheme="minorHAnsi"/>
        </w:rPr>
        <w:t>Optometry and Vision Science, University of New South Wales</w:t>
      </w:r>
    </w:p>
    <w:p w14:paraId="28F51F8B" w14:textId="77777777" w:rsidR="00070ED1" w:rsidRDefault="00070ED1" w:rsidP="00070ED1">
      <w:pPr>
        <w:pStyle w:val="ListBullet0"/>
        <w:spacing w:after="120" w:line="240" w:lineRule="auto"/>
        <w:rPr>
          <w:rFonts w:eastAsiaTheme="minorEastAsia"/>
        </w:rPr>
      </w:pPr>
      <w:r w:rsidRPr="43BB6B1F">
        <w:rPr>
          <w:rFonts w:eastAsiaTheme="minorEastAsia"/>
        </w:rPr>
        <w:t xml:space="preserve">Royal Institute for the Deaf and Blind Children </w:t>
      </w:r>
    </w:p>
    <w:p w14:paraId="5EC7E99E" w14:textId="77777777" w:rsidR="00070ED1" w:rsidRDefault="00070ED1" w:rsidP="00070ED1">
      <w:pPr>
        <w:pStyle w:val="ListBullet0"/>
        <w:spacing w:after="120" w:line="240" w:lineRule="auto"/>
        <w:rPr>
          <w:rFonts w:eastAsiaTheme="minorHAnsi"/>
        </w:rPr>
      </w:pPr>
      <w:r>
        <w:rPr>
          <w:rFonts w:eastAsiaTheme="minorHAnsi"/>
        </w:rPr>
        <w:t>Save Sight Institute</w:t>
      </w:r>
    </w:p>
    <w:p w14:paraId="365A2F3C" w14:textId="77777777" w:rsidR="00070ED1" w:rsidRDefault="00070ED1" w:rsidP="00070ED1">
      <w:pPr>
        <w:pStyle w:val="ListBullet0"/>
        <w:spacing w:after="120" w:line="240" w:lineRule="auto"/>
        <w:rPr>
          <w:rFonts w:eastAsiaTheme="minorHAnsi"/>
        </w:rPr>
      </w:pPr>
      <w:r>
        <w:rPr>
          <w:rFonts w:eastAsiaTheme="minorHAnsi"/>
        </w:rPr>
        <w:t>Sight for All</w:t>
      </w:r>
    </w:p>
    <w:p w14:paraId="3CD2ECA9" w14:textId="77777777" w:rsidR="00070ED1" w:rsidRPr="00F16574" w:rsidRDefault="00070ED1" w:rsidP="00070ED1">
      <w:pPr>
        <w:pStyle w:val="Heading2"/>
        <w:rPr>
          <w:rFonts w:cs="Times New Roman"/>
        </w:rPr>
      </w:pPr>
      <w:bookmarkStart w:id="51" w:name="_Toc499036881"/>
      <w:bookmarkStart w:id="52" w:name="_Toc529881097"/>
      <w:bookmarkStart w:id="53" w:name="_Toc81388487"/>
      <w:bookmarkStart w:id="54" w:name="_Toc90376287"/>
      <w:r>
        <w:t>A</w:t>
      </w:r>
      <w:r w:rsidRPr="00F16574">
        <w:t>ssociate</w:t>
      </w:r>
      <w:bookmarkEnd w:id="51"/>
      <w:bookmarkEnd w:id="52"/>
      <w:r>
        <w:t xml:space="preserve"> members</w:t>
      </w:r>
      <w:bookmarkEnd w:id="53"/>
      <w:bookmarkEnd w:id="54"/>
    </w:p>
    <w:p w14:paraId="02CDDD66" w14:textId="77777777" w:rsidR="00070ED1" w:rsidRDefault="00070ED1" w:rsidP="00070ED1">
      <w:pPr>
        <w:pStyle w:val="ListBullet0"/>
        <w:spacing w:after="120" w:line="240" w:lineRule="auto"/>
        <w:rPr>
          <w:rFonts w:eastAsiaTheme="minorHAnsi"/>
        </w:rPr>
      </w:pPr>
      <w:r>
        <w:rPr>
          <w:rFonts w:eastAsiaTheme="minorHAnsi"/>
        </w:rPr>
        <w:t>Diabetes Victoria</w:t>
      </w:r>
    </w:p>
    <w:p w14:paraId="2EB348E7" w14:textId="77777777" w:rsidR="00070ED1" w:rsidRDefault="00070ED1" w:rsidP="00070ED1">
      <w:pPr>
        <w:pStyle w:val="ListBullet0"/>
        <w:spacing w:after="120" w:line="240" w:lineRule="auto"/>
        <w:rPr>
          <w:rFonts w:eastAsiaTheme="minorHAnsi"/>
        </w:rPr>
      </w:pPr>
      <w:r>
        <w:rPr>
          <w:rFonts w:eastAsiaTheme="minorHAnsi"/>
        </w:rPr>
        <w:t>Glaucoma Australia</w:t>
      </w:r>
    </w:p>
    <w:p w14:paraId="2F009E43" w14:textId="77777777" w:rsidR="00070ED1" w:rsidRDefault="00070ED1" w:rsidP="00070ED1">
      <w:pPr>
        <w:pStyle w:val="ListBullet0"/>
        <w:spacing w:after="120" w:line="240" w:lineRule="auto"/>
        <w:rPr>
          <w:rFonts w:eastAsiaTheme="minorHAnsi"/>
        </w:rPr>
      </w:pPr>
      <w:r>
        <w:rPr>
          <w:rFonts w:eastAsiaTheme="minorHAnsi"/>
        </w:rPr>
        <w:t>Keratoconus Australia</w:t>
      </w:r>
    </w:p>
    <w:p w14:paraId="45C440BD" w14:textId="77777777" w:rsidR="00070ED1" w:rsidRPr="004A78D1" w:rsidRDefault="00070ED1" w:rsidP="00070ED1">
      <w:pPr>
        <w:pStyle w:val="ListBullet0"/>
        <w:spacing w:after="120" w:line="240" w:lineRule="auto"/>
        <w:rPr>
          <w:rFonts w:eastAsiaTheme="minorHAnsi"/>
        </w:rPr>
      </w:pPr>
      <w:r>
        <w:rPr>
          <w:rFonts w:eastAsiaTheme="minorHAnsi"/>
        </w:rPr>
        <w:t>National Aboriginal Community Controlled Health Organisation</w:t>
      </w:r>
    </w:p>
    <w:p w14:paraId="14F468AE" w14:textId="77777777" w:rsidR="00070ED1" w:rsidRDefault="00070ED1" w:rsidP="00070ED1">
      <w:pPr>
        <w:pStyle w:val="ListBullet0"/>
        <w:spacing w:after="120" w:line="240" w:lineRule="auto"/>
        <w:rPr>
          <w:rFonts w:eastAsiaTheme="minorHAnsi"/>
        </w:rPr>
      </w:pPr>
      <w:r>
        <w:rPr>
          <w:rFonts w:eastAsiaTheme="minorHAnsi"/>
        </w:rPr>
        <w:t>Retina Australia</w:t>
      </w:r>
    </w:p>
    <w:p w14:paraId="7F60A2C4" w14:textId="77777777" w:rsidR="00070ED1" w:rsidRDefault="00070ED1" w:rsidP="00070ED1">
      <w:pPr>
        <w:pStyle w:val="Heading1"/>
      </w:pPr>
      <w:bookmarkStart w:id="55" w:name="_Toc81388488"/>
      <w:bookmarkStart w:id="56" w:name="_Toc90376288"/>
      <w:r>
        <w:t>Contact details</w:t>
      </w:r>
      <w:bookmarkEnd w:id="55"/>
      <w:bookmarkEnd w:id="56"/>
    </w:p>
    <w:p w14:paraId="395124F3" w14:textId="77777777" w:rsidR="00070ED1" w:rsidRDefault="00070ED1" w:rsidP="00070ED1">
      <w:r>
        <w:t xml:space="preserve">Vision 2020 Australia </w:t>
      </w:r>
    </w:p>
    <w:p w14:paraId="79035FE8" w14:textId="77777777" w:rsidR="00070ED1" w:rsidRDefault="00070ED1" w:rsidP="00070ED1">
      <w:r>
        <w:t>Level 3, 33 Lincoln Square South</w:t>
      </w:r>
    </w:p>
    <w:p w14:paraId="11833B20" w14:textId="77777777" w:rsidR="00070ED1" w:rsidRDefault="00070ED1" w:rsidP="00070ED1">
      <w:r>
        <w:t>Carlton Victoria 3053</w:t>
      </w:r>
    </w:p>
    <w:p w14:paraId="4A73AAC1" w14:textId="77777777" w:rsidR="008963A4" w:rsidRDefault="008963A4" w:rsidP="00070ED1"/>
    <w:p w14:paraId="2FD5B904" w14:textId="59CB63CD" w:rsidR="00070ED1" w:rsidRDefault="00070ED1" w:rsidP="00070ED1">
      <w:r>
        <w:t xml:space="preserve">Telephone </w:t>
      </w:r>
      <w:r w:rsidR="00C113B9">
        <w:t>0</w:t>
      </w:r>
      <w:r>
        <w:t>3 9656 2020</w:t>
      </w:r>
    </w:p>
    <w:p w14:paraId="4CB81F32" w14:textId="77777777" w:rsidR="00070ED1" w:rsidRDefault="00070ED1" w:rsidP="00070ED1">
      <w:r>
        <w:t xml:space="preserve">Email </w:t>
      </w:r>
      <w:hyperlink r:id="rId12" w:history="1">
        <w:r w:rsidRPr="00B274E1">
          <w:rPr>
            <w:rStyle w:val="Hyperlink"/>
          </w:rPr>
          <w:t>info@vision2020australia.org.au</w:t>
        </w:r>
      </w:hyperlink>
    </w:p>
    <w:p w14:paraId="132F79CA" w14:textId="5C07F2CB" w:rsidR="00070ED1" w:rsidRPr="008963A4" w:rsidRDefault="00070ED1" w:rsidP="008963A4">
      <w:pPr>
        <w:rPr>
          <w:rStyle w:val="normaltextrun"/>
        </w:rPr>
      </w:pPr>
      <w:r>
        <w:t xml:space="preserve">Website </w:t>
      </w:r>
      <w:hyperlink r:id="rId13" w:history="1">
        <w:r w:rsidRPr="00B274E1">
          <w:rPr>
            <w:rStyle w:val="Hyperlink"/>
          </w:rPr>
          <w:t>www.vision2020australia.org.au</w:t>
        </w:r>
      </w:hyperlink>
    </w:p>
    <w:sectPr w:rsidR="00070ED1" w:rsidRPr="008963A4" w:rsidSect="00D91D3C">
      <w:footerReference w:type="default" r:id="rId14"/>
      <w:headerReference w:type="first" r:id="rId15"/>
      <w:footerReference w:type="first" r:id="rId16"/>
      <w:pgSz w:w="11906" w:h="16838" w:code="9"/>
      <w:pgMar w:top="1418"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02A9" w14:textId="77777777" w:rsidR="00F325E1" w:rsidRDefault="00F325E1" w:rsidP="00185154">
      <w:r>
        <w:separator/>
      </w:r>
    </w:p>
    <w:p w14:paraId="5957F073" w14:textId="77777777" w:rsidR="00F325E1" w:rsidRDefault="00F325E1"/>
  </w:endnote>
  <w:endnote w:type="continuationSeparator" w:id="0">
    <w:p w14:paraId="0F2F0748" w14:textId="77777777" w:rsidR="00F325E1" w:rsidRDefault="00F325E1" w:rsidP="00185154">
      <w:r>
        <w:continuationSeparator/>
      </w:r>
    </w:p>
    <w:p w14:paraId="1A36FC7F" w14:textId="77777777" w:rsidR="00F325E1" w:rsidRDefault="00F325E1"/>
  </w:endnote>
  <w:endnote w:type="continuationNotice" w:id="1">
    <w:p w14:paraId="5EB8EBC8" w14:textId="77777777" w:rsidR="00F325E1" w:rsidRDefault="00F32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Frutiger 45 Light">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2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Caption w:val="Footer table"/>
    </w:tblPr>
    <w:tblGrid>
      <w:gridCol w:w="9356"/>
      <w:gridCol w:w="706"/>
    </w:tblGrid>
    <w:tr w:rsidR="00233A8B" w:rsidRPr="002F2F7A" w14:paraId="7B4DE8BE" w14:textId="77777777" w:rsidTr="004A0966">
      <w:trPr>
        <w:trHeight w:val="495"/>
      </w:trPr>
      <w:tc>
        <w:tcPr>
          <w:tcW w:w="9356" w:type="dxa"/>
        </w:tcPr>
        <w:p w14:paraId="0E891396" w14:textId="2B500A78" w:rsidR="00233A8B" w:rsidRPr="002F2F7A" w:rsidRDefault="00844FFC" w:rsidP="00F93451">
          <w:pPr>
            <w:pStyle w:val="Footer"/>
            <w:tabs>
              <w:tab w:val="clear" w:pos="567"/>
              <w:tab w:val="clear" w:pos="9639"/>
            </w:tabs>
          </w:pPr>
          <w:sdt>
            <w:sdtPr>
              <w:rPr>
                <w:rFonts w:eastAsia="Times New Roman" w:cs="Times New Roman"/>
                <w:szCs w:val="24"/>
                <w:lang w:eastAsia="en-AU"/>
              </w:rPr>
              <w:alias w:val="Title"/>
              <w:tag w:val=""/>
              <w:id w:val="-65264506"/>
              <w:showingPlcHdr/>
              <w:dataBinding w:prefixMappings="xmlns:ns0='http://purl.org/dc/elements/1.1/' xmlns:ns1='http://schemas.openxmlformats.org/package/2006/metadata/core-properties' " w:xpath="/ns1:coreProperties[1]/ns0:title[1]" w:storeItemID="{6C3C8BC8-F283-45AE-878A-BAB7291924A1}"/>
              <w:text/>
            </w:sdtPr>
            <w:sdtEndPr/>
            <w:sdtContent>
              <w:r w:rsidR="00D223D8">
                <w:rPr>
                  <w:rFonts w:eastAsia="Times New Roman" w:cs="Times New Roman"/>
                  <w:szCs w:val="24"/>
                  <w:lang w:eastAsia="en-AU"/>
                </w:rPr>
                <w:t xml:space="preserve">     </w:t>
              </w:r>
            </w:sdtContent>
          </w:sdt>
        </w:p>
      </w:tc>
      <w:tc>
        <w:tcPr>
          <w:tcW w:w="706" w:type="dxa"/>
        </w:tcPr>
        <w:p w14:paraId="3BC1224E" w14:textId="77777777" w:rsidR="00233A8B" w:rsidRPr="002F2F7A" w:rsidRDefault="00233A8B" w:rsidP="00F93451">
          <w:pPr>
            <w:pStyle w:val="Footer"/>
            <w:tabs>
              <w:tab w:val="clear" w:pos="567"/>
              <w:tab w:val="clear" w:pos="9639"/>
            </w:tabs>
            <w:jc w:val="right"/>
          </w:pPr>
          <w:r>
            <w:rPr>
              <w:noProof w:val="0"/>
            </w:rPr>
            <w:fldChar w:fldCharType="begin"/>
          </w:r>
          <w:r>
            <w:instrText xml:space="preserve"> PAGE   \* MERGEFORMAT </w:instrText>
          </w:r>
          <w:r>
            <w:rPr>
              <w:noProof w:val="0"/>
            </w:rPr>
            <w:fldChar w:fldCharType="separate"/>
          </w:r>
          <w:r>
            <w:t>1</w:t>
          </w:r>
          <w:r>
            <w:fldChar w:fldCharType="end"/>
          </w:r>
        </w:p>
      </w:tc>
    </w:tr>
  </w:tbl>
  <w:p w14:paraId="76E6BC21" w14:textId="77777777" w:rsidR="00233A8B" w:rsidRPr="00E61FE7" w:rsidRDefault="00233A8B" w:rsidP="00F93451">
    <w:pPr>
      <w:pStyle w:val="Footer"/>
      <w:tabs>
        <w:tab w:val="clear" w:pos="567"/>
        <w:tab w:val="clear" w:pos="9639"/>
        <w:tab w:val="left" w:pos="1418"/>
      </w:tabs>
      <w:rPr>
        <w:sz w:val="2"/>
        <w:szCs w:val="2"/>
      </w:rPr>
    </w:pPr>
  </w:p>
  <w:p w14:paraId="0CCC289D" w14:textId="77777777" w:rsidR="00233A8B" w:rsidRDefault="00233A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437"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Caption w:val="Footer table"/>
    </w:tblPr>
    <w:tblGrid>
      <w:gridCol w:w="9923"/>
      <w:gridCol w:w="557"/>
    </w:tblGrid>
    <w:tr w:rsidR="00233A8B" w:rsidRPr="002F2F7A" w14:paraId="5A6756D1" w14:textId="77777777" w:rsidTr="00FD3931">
      <w:tc>
        <w:tcPr>
          <w:tcW w:w="9923" w:type="dxa"/>
        </w:tcPr>
        <w:p w14:paraId="7E03F6A0" w14:textId="6DE767C1" w:rsidR="005C0400" w:rsidRDefault="005C0400" w:rsidP="005C0400">
          <w:pPr>
            <w:ind w:left="-284" w:firstLine="284"/>
          </w:pPr>
        </w:p>
      </w:tc>
      <w:tc>
        <w:tcPr>
          <w:tcW w:w="557" w:type="dxa"/>
        </w:tcPr>
        <w:p w14:paraId="79194B36" w14:textId="77777777" w:rsidR="00233A8B" w:rsidRPr="002F2F7A" w:rsidRDefault="00233A8B" w:rsidP="00FD3931">
          <w:pPr>
            <w:pStyle w:val="Footer"/>
            <w:tabs>
              <w:tab w:val="clear" w:pos="567"/>
              <w:tab w:val="clear" w:pos="9639"/>
            </w:tabs>
            <w:jc w:val="right"/>
          </w:pPr>
          <w:r>
            <w:rPr>
              <w:noProof w:val="0"/>
            </w:rPr>
            <w:fldChar w:fldCharType="begin"/>
          </w:r>
          <w:r>
            <w:instrText xml:space="preserve"> PAGE   \* MERGEFORMAT </w:instrText>
          </w:r>
          <w:r>
            <w:rPr>
              <w:noProof w:val="0"/>
            </w:rPr>
            <w:fldChar w:fldCharType="separate"/>
          </w:r>
          <w:r>
            <w:t>1</w:t>
          </w:r>
          <w:r>
            <w:fldChar w:fldCharType="end"/>
          </w:r>
        </w:p>
      </w:tc>
    </w:tr>
  </w:tbl>
  <w:p w14:paraId="497A8809" w14:textId="77777777" w:rsidR="00233A8B" w:rsidRPr="00E61FE7" w:rsidRDefault="00233A8B" w:rsidP="00E61FE7">
    <w:pPr>
      <w:pStyle w:val="Footer"/>
      <w:tabs>
        <w:tab w:val="clear" w:pos="567"/>
        <w:tab w:val="clear" w:pos="9639"/>
        <w:tab w:val="left" w:pos="1418"/>
      </w:tabs>
      <w:rPr>
        <w:sz w:val="2"/>
        <w:szCs w:val="2"/>
      </w:rPr>
    </w:pPr>
  </w:p>
  <w:p w14:paraId="7CC1A1A0" w14:textId="77777777" w:rsidR="00233A8B" w:rsidRDefault="00233A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04E94" w14:textId="77777777" w:rsidR="00F325E1" w:rsidRDefault="00F325E1" w:rsidP="00185154">
      <w:r>
        <w:separator/>
      </w:r>
    </w:p>
    <w:p w14:paraId="0FE368D9" w14:textId="77777777" w:rsidR="00F325E1" w:rsidRDefault="00F325E1"/>
  </w:footnote>
  <w:footnote w:type="continuationSeparator" w:id="0">
    <w:p w14:paraId="265B862D" w14:textId="77777777" w:rsidR="00F325E1" w:rsidRDefault="00F325E1" w:rsidP="00185154">
      <w:r>
        <w:continuationSeparator/>
      </w:r>
    </w:p>
    <w:p w14:paraId="2037260B" w14:textId="77777777" w:rsidR="00F325E1" w:rsidRDefault="00F325E1"/>
  </w:footnote>
  <w:footnote w:type="continuationNotice" w:id="1">
    <w:p w14:paraId="71DCA577" w14:textId="77777777" w:rsidR="00F325E1" w:rsidRDefault="00F325E1"/>
  </w:footnote>
  <w:footnote w:id="2">
    <w:p w14:paraId="7E41C9B5" w14:textId="77777777" w:rsidR="00D223D8" w:rsidRPr="004318A7" w:rsidRDefault="00D223D8" w:rsidP="00D223D8">
      <w:pPr>
        <w:pStyle w:val="FootnoteText"/>
        <w:rPr>
          <w:lang w:val="en-US"/>
        </w:rPr>
      </w:pPr>
      <w:r>
        <w:rPr>
          <w:rStyle w:val="FootnoteReference"/>
        </w:rPr>
        <w:footnoteRef/>
      </w:r>
      <w:r>
        <w:t xml:space="preserve"> </w:t>
      </w:r>
      <w:r w:rsidRPr="00CF75A4">
        <w:rPr>
          <w:rStyle w:val="normaltextrun"/>
          <w:rFonts w:ascii="Arial" w:hAnsi="Arial"/>
          <w:color w:val="000000"/>
          <w:sz w:val="16"/>
          <w:szCs w:val="16"/>
          <w:shd w:val="clear" w:color="auto" w:fill="FFFFFF"/>
        </w:rPr>
        <w:t>Vision 2020 and Centre for Eye Research Australia, 2016, The National Eye Health Survey 2016.</w:t>
      </w:r>
      <w:r w:rsidRPr="00CF75A4">
        <w:rPr>
          <w:rStyle w:val="eop"/>
          <w:rFonts w:ascii="Arial" w:hAnsi="Arial"/>
          <w:color w:val="000000"/>
          <w:sz w:val="16"/>
          <w:szCs w:val="16"/>
          <w:shd w:val="clear" w:color="auto" w:fill="FFFFFF"/>
        </w:rPr>
        <w:t> </w:t>
      </w:r>
    </w:p>
  </w:footnote>
  <w:footnote w:id="3">
    <w:p w14:paraId="658019BE" w14:textId="77777777" w:rsidR="002A753E" w:rsidRPr="000A5904" w:rsidRDefault="002A753E" w:rsidP="002A753E">
      <w:pPr>
        <w:pStyle w:val="FootnoteText"/>
        <w:rPr>
          <w:lang w:val="en-US"/>
        </w:rPr>
      </w:pPr>
      <w:r>
        <w:rPr>
          <w:rStyle w:val="FootnoteReference"/>
        </w:rPr>
        <w:footnoteRef/>
      </w:r>
      <w:r>
        <w:t xml:space="preserve"> </w:t>
      </w:r>
      <w:r w:rsidRPr="000A5904">
        <w:rPr>
          <w:color w:val="000000"/>
          <w:sz w:val="16"/>
          <w:szCs w:val="16"/>
        </w:rPr>
        <w:t xml:space="preserve">Holden </w:t>
      </w:r>
      <w:proofErr w:type="gramStart"/>
      <w:r w:rsidRPr="000A5904">
        <w:rPr>
          <w:color w:val="000000"/>
          <w:sz w:val="16"/>
          <w:szCs w:val="16"/>
        </w:rPr>
        <w:t>BA ,</w:t>
      </w:r>
      <w:proofErr w:type="gramEnd"/>
      <w:r w:rsidRPr="000A5904">
        <w:rPr>
          <w:color w:val="000000"/>
          <w:sz w:val="16"/>
          <w:szCs w:val="16"/>
        </w:rPr>
        <w:t xml:space="preserve"> Fricke TR, Wilson DA et al. Global prevalence of myopia and high myopia and temporal trends from 2000 through 2050.Ophthalmology. 2016; 123: 1036-104</w:t>
      </w:r>
    </w:p>
  </w:footnote>
  <w:footnote w:id="4">
    <w:p w14:paraId="7E6885D5" w14:textId="77777777" w:rsidR="002A753E" w:rsidRPr="0074333F" w:rsidRDefault="002A753E" w:rsidP="002A753E">
      <w:pPr>
        <w:pStyle w:val="FootnoteText"/>
        <w:rPr>
          <w:lang w:val="en-US"/>
        </w:rPr>
      </w:pPr>
      <w:r>
        <w:rPr>
          <w:rStyle w:val="FootnoteReference"/>
        </w:rPr>
        <w:footnoteRef/>
      </w:r>
      <w:r>
        <w:t xml:space="preserve"> </w:t>
      </w:r>
      <w:r w:rsidRPr="00CF75A4">
        <w:rPr>
          <w:rFonts w:ascii="Arial" w:hAnsi="Arial"/>
          <w:color w:val="000000"/>
          <w:sz w:val="16"/>
          <w:szCs w:val="16"/>
          <w:shd w:val="clear" w:color="auto" w:fill="FFFFFF"/>
        </w:rPr>
        <w:t>Vision 2020 and Centre for Eye Research Australia, 2016, The National Eye Health Survey 2016.</w:t>
      </w:r>
      <w:r w:rsidRPr="00CF75A4">
        <w:rPr>
          <w:rStyle w:val="NbrHeading1"/>
          <w:rFonts w:ascii="Arial" w:hAnsi="Arial"/>
          <w:color w:val="000000"/>
          <w:sz w:val="16"/>
          <w:szCs w:val="16"/>
          <w:shd w:val="clear" w:color="auto" w:fill="FFFFFF"/>
        </w:rPr>
        <w:t> </w:t>
      </w:r>
    </w:p>
  </w:footnote>
  <w:footnote w:id="5">
    <w:p w14:paraId="0AE3273B" w14:textId="77777777" w:rsidR="002A753E" w:rsidRPr="0057107D" w:rsidRDefault="002A753E" w:rsidP="002A753E">
      <w:pPr>
        <w:pStyle w:val="FootnoteText"/>
        <w:rPr>
          <w:lang w:val="en-US"/>
        </w:rPr>
      </w:pPr>
      <w:r>
        <w:rPr>
          <w:rStyle w:val="FootnoteReference"/>
        </w:rPr>
        <w:footnoteRef/>
      </w:r>
      <w:r>
        <w:t xml:space="preserve"> </w:t>
      </w:r>
      <w:r w:rsidRPr="008030AD">
        <w:rPr>
          <w:sz w:val="16"/>
          <w:szCs w:val="16"/>
        </w:rPr>
        <w:t xml:space="preserve">Taylor HR, National Indigenous Eye Health Survey Team, National Indigenous Eye Health Survey: </w:t>
      </w:r>
      <w:proofErr w:type="spellStart"/>
      <w:r w:rsidRPr="008030AD">
        <w:rPr>
          <w:sz w:val="16"/>
          <w:szCs w:val="16"/>
        </w:rPr>
        <w:t>Minum</w:t>
      </w:r>
      <w:proofErr w:type="spellEnd"/>
      <w:r w:rsidRPr="008030AD">
        <w:rPr>
          <w:sz w:val="16"/>
          <w:szCs w:val="16"/>
        </w:rPr>
        <w:t xml:space="preserve"> </w:t>
      </w:r>
      <w:proofErr w:type="spellStart"/>
      <w:r w:rsidRPr="008030AD">
        <w:rPr>
          <w:sz w:val="16"/>
          <w:szCs w:val="16"/>
        </w:rPr>
        <w:t>Barreng</w:t>
      </w:r>
      <w:proofErr w:type="spellEnd"/>
      <w:r w:rsidRPr="008030AD">
        <w:rPr>
          <w:sz w:val="16"/>
          <w:szCs w:val="16"/>
        </w:rPr>
        <w:t xml:space="preserve"> (Tracking Eyes), Melbourne: Indigenous Eye Health Unit, The University of Melbourne, 2009</w:t>
      </w:r>
      <w:r w:rsidRPr="00160D47">
        <w:rPr>
          <w:sz w:val="16"/>
          <w:szCs w:val="16"/>
        </w:rPr>
        <w:t>.</w:t>
      </w:r>
    </w:p>
  </w:footnote>
  <w:footnote w:id="6">
    <w:p w14:paraId="19EED929" w14:textId="77777777" w:rsidR="00D223D8" w:rsidRPr="00104411" w:rsidRDefault="00D223D8" w:rsidP="00D223D8">
      <w:pPr>
        <w:pStyle w:val="FootnoteText"/>
        <w:rPr>
          <w:sz w:val="16"/>
          <w:szCs w:val="16"/>
          <w:lang w:val="en-US"/>
        </w:rPr>
      </w:pPr>
      <w:r>
        <w:rPr>
          <w:rStyle w:val="FootnoteReference"/>
        </w:rPr>
        <w:footnoteRef/>
      </w:r>
      <w:r>
        <w:t xml:space="preserve"> </w:t>
      </w:r>
      <w:r w:rsidRPr="00DC6C5E">
        <w:rPr>
          <w:sz w:val="16"/>
          <w:szCs w:val="16"/>
        </w:rPr>
        <w:t xml:space="preserve">Access </w:t>
      </w:r>
      <w:r w:rsidRPr="00104411">
        <w:rPr>
          <w:sz w:val="16"/>
          <w:szCs w:val="16"/>
        </w:rPr>
        <w:t>Economics, 2010</w:t>
      </w:r>
      <w:r w:rsidRPr="00104411">
        <w:rPr>
          <w:i/>
          <w:sz w:val="16"/>
          <w:szCs w:val="16"/>
        </w:rPr>
        <w:t>, Clear Focus: The Economic Impact of Vision Loss in Australia in 2009: A Report prepared for Vision 2020 Australia</w:t>
      </w:r>
      <w:r w:rsidRPr="00104411">
        <w:rPr>
          <w:sz w:val="16"/>
          <w:szCs w:val="16"/>
        </w:rPr>
        <w:t xml:space="preserve">, Melbourne updated to </w:t>
      </w:r>
      <w:proofErr w:type="gramStart"/>
      <w:r w:rsidRPr="00104411">
        <w:rPr>
          <w:sz w:val="16"/>
          <w:szCs w:val="16"/>
        </w:rPr>
        <w:t>2021 dollar</w:t>
      </w:r>
      <w:proofErr w:type="gramEnd"/>
      <w:r w:rsidRPr="00104411">
        <w:rPr>
          <w:sz w:val="16"/>
          <w:szCs w:val="16"/>
        </w:rPr>
        <w:t xml:space="preserve"> values by Health Consult, September 2021.</w:t>
      </w:r>
    </w:p>
  </w:footnote>
  <w:footnote w:id="7">
    <w:p w14:paraId="7B0DCCB0" w14:textId="77777777" w:rsidR="00D223D8" w:rsidRPr="00F36F9C" w:rsidRDefault="00D223D8" w:rsidP="00D223D8">
      <w:pPr>
        <w:pStyle w:val="FootnoteText"/>
        <w:rPr>
          <w:lang w:val="en-US"/>
        </w:rPr>
      </w:pPr>
      <w:r w:rsidRPr="00104411">
        <w:rPr>
          <w:rStyle w:val="FootnoteReference"/>
          <w:sz w:val="16"/>
          <w:szCs w:val="16"/>
        </w:rPr>
        <w:footnoteRef/>
      </w:r>
      <w:r w:rsidRPr="00104411">
        <w:rPr>
          <w:sz w:val="16"/>
          <w:szCs w:val="16"/>
        </w:rPr>
        <w:t xml:space="preserve">World Health Organisation </w:t>
      </w:r>
      <w:r>
        <w:rPr>
          <w:sz w:val="16"/>
          <w:szCs w:val="16"/>
        </w:rPr>
        <w:t>Seventy-Third World Health Assembly 2020</w:t>
      </w:r>
      <w:r w:rsidRPr="00104411">
        <w:rPr>
          <w:sz w:val="16"/>
          <w:szCs w:val="16"/>
        </w:rPr>
        <w:t xml:space="preserve">, </w:t>
      </w:r>
      <w:r w:rsidRPr="00FA3EE1">
        <w:rPr>
          <w:i/>
          <w:iCs/>
          <w:sz w:val="16"/>
          <w:szCs w:val="16"/>
        </w:rPr>
        <w:t>Integrated people-centred eye care, including preventable vision impairment and blindness</w:t>
      </w:r>
      <w:r>
        <w:rPr>
          <w:sz w:val="16"/>
          <w:szCs w:val="16"/>
        </w:rPr>
        <w:t>,</w:t>
      </w:r>
      <w:r w:rsidRPr="00104411">
        <w:rPr>
          <w:sz w:val="16"/>
          <w:szCs w:val="16"/>
        </w:rPr>
        <w:t xml:space="preserve"> </w:t>
      </w:r>
      <w:hyperlink r:id="rId1" w:history="1">
        <w:r w:rsidRPr="00104411">
          <w:rPr>
            <w:rStyle w:val="Hyperlink"/>
            <w:sz w:val="16"/>
            <w:szCs w:val="16"/>
          </w:rPr>
          <w:t>https://apps.who.int/gb/ebwha/pdf_files/WHA73/A73_R4-en.pdf</w:t>
        </w:r>
      </w:hyperlink>
      <w:r>
        <w:t xml:space="preserve"> </w:t>
      </w:r>
    </w:p>
  </w:footnote>
  <w:footnote w:id="8">
    <w:p w14:paraId="5B727120" w14:textId="77777777" w:rsidR="00D223D8" w:rsidRPr="00573FE8" w:rsidRDefault="00D223D8" w:rsidP="00D223D8">
      <w:pPr>
        <w:pStyle w:val="FootnoteText"/>
        <w:rPr>
          <w:lang w:val="en-US"/>
        </w:rPr>
      </w:pPr>
      <w:r>
        <w:rPr>
          <w:rStyle w:val="FootnoteReference"/>
        </w:rPr>
        <w:footnoteRef/>
      </w:r>
      <w:r w:rsidRPr="009C163A">
        <w:rPr>
          <w:sz w:val="16"/>
          <w:szCs w:val="16"/>
        </w:rPr>
        <w:t xml:space="preserve">United Nations General Assembly 2021, </w:t>
      </w:r>
      <w:r w:rsidRPr="009C163A">
        <w:rPr>
          <w:i/>
          <w:iCs/>
          <w:sz w:val="16"/>
          <w:szCs w:val="16"/>
        </w:rPr>
        <w:t>Vision for Everyone: accelerating action to achieve the Sustainable Development Goals</w:t>
      </w:r>
      <w:r w:rsidRPr="009C163A">
        <w:rPr>
          <w:sz w:val="16"/>
          <w:szCs w:val="16"/>
        </w:rPr>
        <w:t xml:space="preserve">, </w:t>
      </w:r>
      <w:hyperlink r:id="rId2" w:history="1">
        <w:r w:rsidRPr="00BE5472">
          <w:rPr>
            <w:rStyle w:val="Hyperlink"/>
            <w:sz w:val="16"/>
            <w:szCs w:val="16"/>
          </w:rPr>
          <w:t>https://www.undocs.org/en/A/75/L.108</w:t>
        </w:r>
      </w:hyperlink>
      <w:r>
        <w:rPr>
          <w:sz w:val="16"/>
          <w:szCs w:val="16"/>
        </w:rPr>
        <w:t xml:space="preserve"> </w:t>
      </w:r>
    </w:p>
  </w:footnote>
  <w:footnote w:id="9">
    <w:p w14:paraId="506AB5C3" w14:textId="77777777" w:rsidR="00D223D8" w:rsidRPr="009E1063" w:rsidRDefault="00D223D8" w:rsidP="00D223D8">
      <w:pPr>
        <w:pStyle w:val="FootnoteText"/>
        <w:rPr>
          <w:sz w:val="16"/>
          <w:szCs w:val="16"/>
          <w:lang w:val="en-US"/>
        </w:rPr>
      </w:pPr>
      <w:r>
        <w:rPr>
          <w:rStyle w:val="FootnoteReference"/>
        </w:rPr>
        <w:footnoteRef/>
      </w:r>
      <w:r>
        <w:t xml:space="preserve"> </w:t>
      </w:r>
      <w:r w:rsidRPr="00214E0F">
        <w:rPr>
          <w:sz w:val="16"/>
          <w:szCs w:val="16"/>
        </w:rPr>
        <w:t>Australia's National Long Term Health Plan (2019), p7 https://www.health.gov.au/sites/default/files/australia-s-long-term-national-</w:t>
      </w:r>
      <w:r w:rsidRPr="009E1063">
        <w:rPr>
          <w:sz w:val="16"/>
          <w:szCs w:val="16"/>
        </w:rPr>
        <w:t>health-plan_0.pdf</w:t>
      </w:r>
    </w:p>
  </w:footnote>
  <w:footnote w:id="10">
    <w:p w14:paraId="28CBCB37" w14:textId="77777777" w:rsidR="00D223D8" w:rsidRPr="00913927" w:rsidRDefault="00D223D8" w:rsidP="00D223D8">
      <w:pPr>
        <w:pStyle w:val="FootnoteText"/>
        <w:rPr>
          <w:lang w:val="en-US"/>
        </w:rPr>
      </w:pPr>
      <w:r w:rsidRPr="009E1063">
        <w:rPr>
          <w:rStyle w:val="FootnoteReference"/>
          <w:sz w:val="16"/>
          <w:szCs w:val="16"/>
        </w:rPr>
        <w:footnoteRef/>
      </w:r>
      <w:r w:rsidRPr="009E1063">
        <w:rPr>
          <w:sz w:val="16"/>
          <w:szCs w:val="16"/>
        </w:rPr>
        <w:t xml:space="preserve"> Vision 2020 Australia 2019, </w:t>
      </w:r>
      <w:r w:rsidRPr="009E1063">
        <w:rPr>
          <w:i/>
          <w:iCs/>
          <w:sz w:val="16"/>
          <w:szCs w:val="16"/>
        </w:rPr>
        <w:t>Strong Eyes, strong communities</w:t>
      </w:r>
      <w:r w:rsidRPr="009E1063">
        <w:rPr>
          <w:sz w:val="16"/>
          <w:szCs w:val="16"/>
        </w:rPr>
        <w:t xml:space="preserve">, </w:t>
      </w:r>
      <w:hyperlink r:id="rId3" w:history="1">
        <w:r w:rsidRPr="009E1063">
          <w:rPr>
            <w:rStyle w:val="Hyperlink"/>
            <w:sz w:val="16"/>
            <w:szCs w:val="16"/>
          </w:rPr>
          <w:t>https://www.vision2020australia.org.au/wp-content/uploads/2019/03/Strong-Eyes-Strong-Communities-A-five-year-plan-for-Aboriginal-and-Torres-Strait-Islander-eye-health-and-vision-2019-2024.pdf</w:t>
        </w:r>
      </w:hyperlink>
      <w:r>
        <w:t xml:space="preserve"> </w:t>
      </w:r>
    </w:p>
  </w:footnote>
  <w:footnote w:id="11">
    <w:p w14:paraId="2D3FBA80" w14:textId="77777777" w:rsidR="00D223D8" w:rsidRPr="005670F7" w:rsidRDefault="00D223D8" w:rsidP="00D223D8">
      <w:pPr>
        <w:pStyle w:val="FootnoteText"/>
        <w:rPr>
          <w:lang w:val="en-US"/>
        </w:rPr>
      </w:pPr>
      <w:r>
        <w:rPr>
          <w:rStyle w:val="FootnoteReference"/>
        </w:rPr>
        <w:footnoteRef/>
      </w:r>
      <w:r>
        <w:t xml:space="preserve"> </w:t>
      </w:r>
      <w:r w:rsidRPr="00957E76">
        <w:rPr>
          <w:rFonts w:ascii="Arial" w:hAnsi="Arial" w:cs="Arial"/>
          <w:sz w:val="16"/>
          <w:szCs w:val="16"/>
        </w:rPr>
        <w:t xml:space="preserve">Lee L, et al. Rapid assessment of avoidable blindness in Papua New Guinea: a nationwide survey. British Journal of Ophthalmology </w:t>
      </w:r>
      <w:proofErr w:type="gramStart"/>
      <w:r w:rsidRPr="00957E76">
        <w:rPr>
          <w:rFonts w:ascii="Arial" w:hAnsi="Arial" w:cs="Arial"/>
          <w:sz w:val="16"/>
          <w:szCs w:val="16"/>
        </w:rPr>
        <w:t>2018;0:1</w:t>
      </w:r>
      <w:proofErr w:type="gramEnd"/>
      <w:r w:rsidRPr="00957E76">
        <w:rPr>
          <w:rFonts w:ascii="Arial" w:hAnsi="Arial" w:cs="Arial"/>
          <w:sz w:val="16"/>
          <w:szCs w:val="16"/>
        </w:rPr>
        <w:t>-5</w:t>
      </w:r>
    </w:p>
  </w:footnote>
  <w:footnote w:id="12">
    <w:p w14:paraId="00E278DA" w14:textId="77777777" w:rsidR="00D223D8" w:rsidRPr="005670F7" w:rsidRDefault="00D223D8" w:rsidP="00D223D8">
      <w:pPr>
        <w:pStyle w:val="FootnoteText"/>
        <w:rPr>
          <w:lang w:val="en-US"/>
        </w:rPr>
      </w:pPr>
      <w:r>
        <w:rPr>
          <w:rStyle w:val="FootnoteReference"/>
        </w:rPr>
        <w:footnoteRef/>
      </w:r>
      <w:r>
        <w:t xml:space="preserve"> </w:t>
      </w:r>
      <w:r w:rsidRPr="00F66D39">
        <w:rPr>
          <w:rFonts w:ascii="Arial" w:hAnsi="Arial" w:cs="Arial"/>
          <w:sz w:val="16"/>
          <w:szCs w:val="16"/>
        </w:rPr>
        <w:t xml:space="preserve">Brien Holden Vision Institute 2017, </w:t>
      </w:r>
      <w:hyperlink r:id="rId4" w:history="1">
        <w:r w:rsidRPr="00F66D39">
          <w:rPr>
            <w:rStyle w:val="Hyperlink"/>
            <w:rFonts w:ascii="Arial" w:hAnsi="Arial" w:cs="Arial"/>
            <w:i/>
            <w:sz w:val="16"/>
            <w:szCs w:val="16"/>
          </w:rPr>
          <w:t xml:space="preserve">Rapid Assessment of Avoidable Blindness and Diabetic Retinopathy Report </w:t>
        </w:r>
        <w:r w:rsidRPr="00F66D39">
          <w:rPr>
            <w:rFonts w:ascii="Arial" w:hAnsi="Arial" w:cs="Arial"/>
            <w:sz w:val="16"/>
            <w:szCs w:val="16"/>
          </w:rPr>
          <w:t>– Papua New Guinea</w:t>
        </w:r>
      </w:hyperlink>
      <w:r w:rsidRPr="00F66D39">
        <w:rPr>
          <w:rFonts w:ascii="Arial" w:hAnsi="Arial" w:cs="Arial"/>
          <w:sz w:val="16"/>
          <w:szCs w:val="16"/>
        </w:rPr>
        <w:t>, Sydney.</w:t>
      </w:r>
    </w:p>
  </w:footnote>
  <w:footnote w:id="13">
    <w:p w14:paraId="0B42E717" w14:textId="77777777" w:rsidR="00D223D8" w:rsidRPr="008B10DB" w:rsidRDefault="00D223D8" w:rsidP="00D223D8">
      <w:pPr>
        <w:pStyle w:val="FootnoteText"/>
        <w:rPr>
          <w:lang w:val="en-US"/>
        </w:rPr>
      </w:pPr>
      <w:r>
        <w:rPr>
          <w:rStyle w:val="FootnoteReference"/>
        </w:rPr>
        <w:footnoteRef/>
      </w:r>
      <w:r>
        <w:t xml:space="preserve"> </w:t>
      </w:r>
      <w:r w:rsidRPr="008B10DB">
        <w:rPr>
          <w:rFonts w:ascii="Arial" w:hAnsi="Arial" w:cs="Arial"/>
          <w:sz w:val="16"/>
          <w:szCs w:val="16"/>
        </w:rPr>
        <w:t>International Diabetes Federation 2021, IDF Western Pacific members</w:t>
      </w:r>
      <w:r>
        <w:rPr>
          <w:rFonts w:ascii="Arial" w:hAnsi="Arial" w:cs="Arial"/>
          <w:sz w:val="16"/>
          <w:szCs w:val="16"/>
        </w:rPr>
        <w:t xml:space="preserve">, </w:t>
      </w:r>
      <w:hyperlink r:id="rId5" w:history="1">
        <w:r w:rsidRPr="008B10DB">
          <w:rPr>
            <w:rStyle w:val="Hyperlink"/>
            <w:sz w:val="16"/>
            <w:szCs w:val="16"/>
          </w:rPr>
          <w:t>Members (idf.org)</w:t>
        </w:r>
      </w:hyperlink>
      <w:r>
        <w:t xml:space="preserve"> </w:t>
      </w:r>
    </w:p>
  </w:footnote>
  <w:footnote w:id="14">
    <w:p w14:paraId="20A8110F" w14:textId="77777777" w:rsidR="00D223D8" w:rsidRPr="008E7613" w:rsidRDefault="00D223D8" w:rsidP="00D223D8">
      <w:pPr>
        <w:pStyle w:val="FootnoteText"/>
        <w:rPr>
          <w:lang w:val="en-US"/>
        </w:rPr>
      </w:pPr>
      <w:r>
        <w:rPr>
          <w:rStyle w:val="FootnoteReference"/>
        </w:rPr>
        <w:footnoteRef/>
      </w:r>
      <w:r>
        <w:t xml:space="preserve"> </w:t>
      </w:r>
      <w:r w:rsidRPr="008E7613">
        <w:rPr>
          <w:sz w:val="16"/>
          <w:szCs w:val="16"/>
        </w:rPr>
        <w:t>https://www.disabilitygateway.gov.au/sites/default/files/documents/2021-11/1786-australias-disability.pdf</w:t>
      </w:r>
    </w:p>
  </w:footnote>
  <w:footnote w:id="15">
    <w:p w14:paraId="6AA33829" w14:textId="77777777" w:rsidR="00D223D8" w:rsidRPr="00956924" w:rsidRDefault="00D223D8" w:rsidP="00D223D8">
      <w:pPr>
        <w:pStyle w:val="FootnoteText"/>
        <w:rPr>
          <w:sz w:val="16"/>
          <w:szCs w:val="16"/>
          <w:lang w:val="en-US"/>
        </w:rPr>
      </w:pPr>
      <w:r w:rsidRPr="00956924">
        <w:rPr>
          <w:rStyle w:val="FootnoteReference"/>
          <w:sz w:val="16"/>
          <w:szCs w:val="16"/>
        </w:rPr>
        <w:footnoteRef/>
      </w:r>
      <w:r w:rsidRPr="00956924">
        <w:rPr>
          <w:sz w:val="16"/>
          <w:szCs w:val="16"/>
        </w:rPr>
        <w:t xml:space="preserve"> </w:t>
      </w:r>
      <w:r w:rsidRPr="00956924">
        <w:rPr>
          <w:sz w:val="16"/>
          <w:szCs w:val="16"/>
          <w:lang w:val="en-US"/>
        </w:rPr>
        <w:t xml:space="preserve">Australian Healthcare Associates for the Australian Government Department of Health 2020, </w:t>
      </w:r>
      <w:hyperlink r:id="rId6" w:history="1">
        <w:r w:rsidRPr="00956924">
          <w:rPr>
            <w:rStyle w:val="Hyperlink"/>
            <w:sz w:val="16"/>
            <w:szCs w:val="16"/>
          </w:rPr>
          <w:t>review-of-assistive-technology-programs-in-australia-final-report_0.pdf (health.gov.au)</w:t>
        </w:r>
      </w:hyperlink>
      <w:r w:rsidRPr="00956924">
        <w:rPr>
          <w:sz w:val="16"/>
          <w:szCs w:val="16"/>
        </w:rPr>
        <w:t xml:space="preserve"> </w:t>
      </w:r>
    </w:p>
  </w:footnote>
  <w:footnote w:id="16">
    <w:p w14:paraId="12AE7EF0" w14:textId="77777777" w:rsidR="00D223D8" w:rsidRPr="008E7613" w:rsidRDefault="00D223D8" w:rsidP="00D223D8">
      <w:pPr>
        <w:pStyle w:val="FootnoteText"/>
        <w:rPr>
          <w:lang w:val="en-US"/>
        </w:rPr>
      </w:pPr>
      <w:r>
        <w:rPr>
          <w:rStyle w:val="FootnoteReference"/>
        </w:rPr>
        <w:footnoteRef/>
      </w:r>
      <w:r>
        <w:t xml:space="preserve"> </w:t>
      </w:r>
      <w:r w:rsidRPr="002A4058">
        <w:rPr>
          <w:sz w:val="16"/>
          <w:szCs w:val="16"/>
        </w:rPr>
        <w:t>https://www.disabilitygateway.gov.au/sites/default/files/documents/2021-11/1786-australias-disability.pdf</w:t>
      </w:r>
    </w:p>
  </w:footnote>
  <w:footnote w:id="17">
    <w:p w14:paraId="4B48668C" w14:textId="77777777" w:rsidR="00D223D8" w:rsidRPr="00F517DF" w:rsidRDefault="00D223D8" w:rsidP="00D223D8">
      <w:pPr>
        <w:pStyle w:val="FootnoteText"/>
        <w:rPr>
          <w:lang w:val="en-US"/>
        </w:rPr>
      </w:pPr>
      <w:r w:rsidRPr="00956924">
        <w:rPr>
          <w:rStyle w:val="FootnoteReference"/>
          <w:sz w:val="16"/>
          <w:szCs w:val="16"/>
        </w:rPr>
        <w:footnoteRef/>
      </w:r>
      <w:r w:rsidRPr="00956924">
        <w:rPr>
          <w:sz w:val="16"/>
          <w:szCs w:val="16"/>
        </w:rPr>
        <w:t xml:space="preserve"> By 1 July 2024, every person receiving aged care who is living with disability, regardless of when acquired</w:t>
      </w:r>
      <w:r w:rsidRPr="00F517DF">
        <w:rPr>
          <w:sz w:val="16"/>
          <w:szCs w:val="16"/>
        </w:rPr>
        <w:t xml:space="preserve">, should receive through the aged care program daily living supports and outcomes (including assistive technologies, </w:t>
      </w:r>
      <w:proofErr w:type="gramStart"/>
      <w:r w:rsidRPr="00F517DF">
        <w:rPr>
          <w:sz w:val="16"/>
          <w:szCs w:val="16"/>
        </w:rPr>
        <w:t>aids</w:t>
      </w:r>
      <w:proofErr w:type="gramEnd"/>
      <w:r w:rsidRPr="00F517DF">
        <w:rPr>
          <w:sz w:val="16"/>
          <w:szCs w:val="16"/>
        </w:rPr>
        <w:t xml:space="preserve"> and equipment) equivalent to those that would be available under the National Disability Insurance Scheme to a person under the age of 65 years with the same or substantially similar conditions.</w:t>
      </w:r>
    </w:p>
  </w:footnote>
  <w:footnote w:id="18">
    <w:p w14:paraId="3392ECE4" w14:textId="77777777" w:rsidR="00D223D8" w:rsidRPr="008E7613" w:rsidRDefault="00D223D8" w:rsidP="00D223D8">
      <w:pPr>
        <w:pStyle w:val="FootnoteText"/>
        <w:rPr>
          <w:lang w:val="en-US"/>
        </w:rPr>
      </w:pPr>
      <w:r>
        <w:rPr>
          <w:rStyle w:val="FootnoteReference"/>
        </w:rPr>
        <w:footnoteRef/>
      </w:r>
      <w:r>
        <w:t xml:space="preserve"> </w:t>
      </w:r>
      <w:r w:rsidRPr="002A4058">
        <w:rPr>
          <w:sz w:val="16"/>
          <w:szCs w:val="16"/>
        </w:rPr>
        <w:t>https://www.disabilitygateway.gov.au/sites/default/files/documents/2021-11/1786-australias-disability.pdf</w:t>
      </w:r>
    </w:p>
  </w:footnote>
  <w:footnote w:id="19">
    <w:p w14:paraId="2696AD1D" w14:textId="77777777" w:rsidR="00D223D8" w:rsidRPr="003E317A" w:rsidRDefault="00D223D8" w:rsidP="00D223D8">
      <w:pPr>
        <w:pStyle w:val="Heading2"/>
        <w:shd w:val="clear" w:color="auto" w:fill="FFFFFF"/>
        <w:spacing w:before="161" w:after="161"/>
        <w:textAlignment w:val="baseline"/>
        <w:rPr>
          <w:lang w:val="en-US"/>
        </w:rPr>
      </w:pPr>
      <w:r w:rsidRPr="00374578">
        <w:rPr>
          <w:rStyle w:val="FootnoteReference"/>
          <w:sz w:val="16"/>
          <w:szCs w:val="16"/>
        </w:rPr>
        <w:footnoteRef/>
      </w:r>
      <w:r w:rsidRPr="00374578">
        <w:rPr>
          <w:sz w:val="16"/>
          <w:szCs w:val="16"/>
        </w:rPr>
        <w:t xml:space="preserve"> </w:t>
      </w:r>
      <w:r w:rsidRPr="00374578">
        <w:rPr>
          <w:sz w:val="16"/>
          <w:szCs w:val="16"/>
          <w:lang w:val="en-US"/>
        </w:rPr>
        <w:t xml:space="preserve">United Nations Department of Economic and Social Affairs, </w:t>
      </w:r>
      <w:r w:rsidRPr="00374578">
        <w:rPr>
          <w:rFonts w:ascii="Roboto" w:hAnsi="Roboto"/>
          <w:i/>
          <w:iCs w:val="0"/>
          <w:sz w:val="16"/>
          <w:szCs w:val="16"/>
        </w:rPr>
        <w:t xml:space="preserve">Article 30 – Participation in cultural life, recreation, leisure and sport </w:t>
      </w:r>
      <w:hyperlink r:id="rId7" w:history="1">
        <w:r w:rsidRPr="00374578">
          <w:rPr>
            <w:rStyle w:val="Hyperlink"/>
            <w:sz w:val="16"/>
            <w:szCs w:val="16"/>
            <w:lang w:val="en-US"/>
          </w:rPr>
          <w:t>https://www.un.org/development/desa/disabilities/convention-on-the-rights-of-persons-with-disabilities/article-30-participation-in-cultural-life-recreation-leisure-and-sport.html</w:t>
        </w:r>
      </w:hyperlink>
      <w:r w:rsidRPr="00374578">
        <w:rPr>
          <w:lang w:val="en-US"/>
        </w:rPr>
        <w:t xml:space="preserve"> </w:t>
      </w:r>
    </w:p>
  </w:footnote>
  <w:footnote w:id="20">
    <w:p w14:paraId="7D7BF38B" w14:textId="77777777" w:rsidR="00D223D8" w:rsidRPr="008E7613" w:rsidRDefault="00D223D8" w:rsidP="00D223D8">
      <w:pPr>
        <w:pStyle w:val="FootnoteText"/>
        <w:rPr>
          <w:lang w:val="en-US"/>
        </w:rPr>
      </w:pPr>
      <w:r>
        <w:rPr>
          <w:rStyle w:val="FootnoteReference"/>
        </w:rPr>
        <w:footnoteRef/>
      </w:r>
      <w:r>
        <w:t xml:space="preserve"> </w:t>
      </w:r>
      <w:r w:rsidRPr="002A4058">
        <w:rPr>
          <w:sz w:val="16"/>
          <w:szCs w:val="16"/>
        </w:rPr>
        <w:t>https://www.disabilitygateway.gov.au/sites/default/files/documents/2021-11/1786-australias-disability.pdf</w:t>
      </w:r>
    </w:p>
  </w:footnote>
  <w:footnote w:id="21">
    <w:p w14:paraId="173B1CAD" w14:textId="77777777" w:rsidR="00D223D8" w:rsidRPr="00294E0A" w:rsidRDefault="00D223D8" w:rsidP="00D223D8">
      <w:pPr>
        <w:pStyle w:val="FootnoteText"/>
        <w:rPr>
          <w:lang w:val="en-US"/>
        </w:rPr>
      </w:pPr>
      <w:r>
        <w:rPr>
          <w:rStyle w:val="FootnoteReference"/>
        </w:rPr>
        <w:footnoteRef/>
      </w:r>
      <w:r>
        <w:t xml:space="preserve"> </w:t>
      </w:r>
      <w:r w:rsidRPr="004A4367">
        <w:rPr>
          <w:rFonts w:ascii="Arial" w:hAnsi="Arial" w:cs="Arial"/>
          <w:sz w:val="16"/>
          <w:szCs w:val="16"/>
          <w:lang w:val="en-US"/>
        </w:rPr>
        <w:t>The Lancet Global Health Commission, Vol 9, Issue 4, April 01, 2021</w:t>
      </w:r>
    </w:p>
  </w:footnote>
  <w:footnote w:id="22">
    <w:p w14:paraId="51C7D204" w14:textId="77777777" w:rsidR="00D223D8" w:rsidRPr="00860274" w:rsidRDefault="00D223D8" w:rsidP="00D223D8">
      <w:pPr>
        <w:pStyle w:val="FootnoteText"/>
        <w:rPr>
          <w:lang w:val="en-US"/>
        </w:rPr>
      </w:pPr>
      <w:r>
        <w:rPr>
          <w:rStyle w:val="FootnoteReference"/>
        </w:rPr>
        <w:footnoteRef/>
      </w:r>
      <w:r>
        <w:t xml:space="preserve"> </w:t>
      </w:r>
      <w:r w:rsidRPr="00DC6C5E">
        <w:rPr>
          <w:sz w:val="16"/>
          <w:szCs w:val="16"/>
        </w:rPr>
        <w:t>Access Economics, 2010</w:t>
      </w:r>
      <w:r w:rsidRPr="00E75529">
        <w:rPr>
          <w:i/>
          <w:sz w:val="16"/>
          <w:szCs w:val="16"/>
        </w:rPr>
        <w:t>, Clear Focus: The Economic Impact of Vision Loss in Australia in 2009: A Report prepared for Vision 2020 Australia</w:t>
      </w:r>
      <w:r w:rsidRPr="00DC6C5E">
        <w:rPr>
          <w:sz w:val="16"/>
          <w:szCs w:val="16"/>
        </w:rPr>
        <w:t>, Melbourne</w:t>
      </w:r>
      <w:r>
        <w:rPr>
          <w:sz w:val="16"/>
          <w:szCs w:val="16"/>
        </w:rPr>
        <w:t xml:space="preserve"> updated to </w:t>
      </w:r>
      <w:proofErr w:type="gramStart"/>
      <w:r>
        <w:rPr>
          <w:sz w:val="16"/>
          <w:szCs w:val="16"/>
        </w:rPr>
        <w:t>2021 dollar</w:t>
      </w:r>
      <w:proofErr w:type="gramEnd"/>
      <w:r>
        <w:rPr>
          <w:sz w:val="16"/>
          <w:szCs w:val="16"/>
        </w:rPr>
        <w:t xml:space="preserve"> values by Health Consult, September 2021.</w:t>
      </w:r>
    </w:p>
  </w:footnote>
  <w:footnote w:id="23">
    <w:p w14:paraId="79D0D3FE" w14:textId="77777777" w:rsidR="00D223D8" w:rsidRPr="009360ED" w:rsidRDefault="00D223D8" w:rsidP="00D223D8">
      <w:pPr>
        <w:pStyle w:val="FootnoteText"/>
        <w:rPr>
          <w:lang w:val="en-US"/>
        </w:rPr>
      </w:pPr>
      <w:r>
        <w:rPr>
          <w:rStyle w:val="FootnoteReference"/>
        </w:rPr>
        <w:footnoteRef/>
      </w:r>
      <w:r>
        <w:t xml:space="preserve"> </w:t>
      </w:r>
      <w:r w:rsidRPr="0052241D">
        <w:rPr>
          <w:rStyle w:val="normaltextrun"/>
          <w:rFonts w:ascii="Arial" w:hAnsi="Arial"/>
          <w:color w:val="000000"/>
          <w:sz w:val="16"/>
          <w:shd w:val="clear" w:color="auto" w:fill="FFFFFF"/>
        </w:rPr>
        <w:t xml:space="preserve">Vision 2020 </w:t>
      </w:r>
      <w:r w:rsidRPr="005E6838">
        <w:rPr>
          <w:rStyle w:val="normaltextrun"/>
          <w:rFonts w:ascii="Arial" w:hAnsi="Arial"/>
          <w:color w:val="000000"/>
          <w:sz w:val="16"/>
          <w:szCs w:val="16"/>
          <w:shd w:val="clear" w:color="auto" w:fill="FFFFFF"/>
        </w:rPr>
        <w:t xml:space="preserve">and Centre for Eye Research </w:t>
      </w:r>
      <w:r w:rsidRPr="0052241D">
        <w:rPr>
          <w:rStyle w:val="normaltextrun"/>
          <w:rFonts w:ascii="Arial" w:hAnsi="Arial"/>
          <w:color w:val="000000"/>
          <w:sz w:val="16"/>
          <w:shd w:val="clear" w:color="auto" w:fill="FFFFFF"/>
        </w:rPr>
        <w:t>Australia</w:t>
      </w:r>
      <w:r w:rsidRPr="005E6838">
        <w:rPr>
          <w:rStyle w:val="normaltextrun"/>
          <w:rFonts w:ascii="Arial" w:hAnsi="Arial"/>
          <w:color w:val="000000"/>
          <w:sz w:val="16"/>
          <w:szCs w:val="16"/>
          <w:shd w:val="clear" w:color="auto" w:fill="FFFFFF"/>
        </w:rPr>
        <w:t>, 2016,</w:t>
      </w:r>
      <w:r w:rsidRPr="0052241D">
        <w:rPr>
          <w:rStyle w:val="normaltextrun"/>
          <w:rFonts w:ascii="Arial" w:hAnsi="Arial"/>
          <w:color w:val="000000"/>
          <w:sz w:val="16"/>
          <w:shd w:val="clear" w:color="auto" w:fill="FFFFFF"/>
        </w:rPr>
        <w:t xml:space="preserve"> The </w:t>
      </w:r>
      <w:r w:rsidRPr="005E6838">
        <w:rPr>
          <w:rStyle w:val="normaltextrun"/>
          <w:rFonts w:ascii="Arial" w:hAnsi="Arial"/>
          <w:color w:val="000000"/>
          <w:sz w:val="16"/>
          <w:szCs w:val="16"/>
          <w:shd w:val="clear" w:color="auto" w:fill="FFFFFF"/>
        </w:rPr>
        <w:t>National Eye Health Survey 2016</w:t>
      </w:r>
      <w:r w:rsidRPr="005E6838">
        <w:rPr>
          <w:sz w:val="16"/>
          <w:szCs w:val="16"/>
        </w:rPr>
        <w:t>.</w:t>
      </w:r>
    </w:p>
  </w:footnote>
  <w:footnote w:id="24">
    <w:p w14:paraId="5B61B0BB" w14:textId="77777777" w:rsidR="00D223D8" w:rsidRPr="003C03F1" w:rsidRDefault="00D223D8" w:rsidP="00D223D8">
      <w:pPr>
        <w:pStyle w:val="FootnoteText"/>
        <w:rPr>
          <w:lang w:val="en-US"/>
        </w:rPr>
      </w:pPr>
      <w:r>
        <w:rPr>
          <w:rStyle w:val="FootnoteReference"/>
        </w:rPr>
        <w:footnoteRef/>
      </w:r>
      <w:r>
        <w:t xml:space="preserve"> </w:t>
      </w:r>
      <w:r w:rsidRPr="003C03F1">
        <w:rPr>
          <w:sz w:val="16"/>
          <w:szCs w:val="16"/>
          <w:lang w:val="en-US"/>
        </w:rPr>
        <w:t xml:space="preserve">Ophthalmic Research Institute of Australia 2019, </w:t>
      </w:r>
      <w:r w:rsidRPr="003C03F1">
        <w:rPr>
          <w:i/>
          <w:iCs/>
          <w:sz w:val="16"/>
          <w:szCs w:val="16"/>
          <w:lang w:val="en-US"/>
        </w:rPr>
        <w:t>ORIA Research Funding &amp; Impact</w:t>
      </w:r>
      <w:r w:rsidRPr="003C03F1">
        <w:rPr>
          <w:sz w:val="16"/>
          <w:szCs w:val="16"/>
          <w:lang w:val="en-US"/>
        </w:rPr>
        <w:t xml:space="preserve">, </w:t>
      </w:r>
      <w:hyperlink r:id="rId8" w:history="1">
        <w:r w:rsidRPr="003C03F1">
          <w:rPr>
            <w:rStyle w:val="Hyperlink"/>
            <w:sz w:val="16"/>
            <w:szCs w:val="16"/>
            <w:lang w:val="en-US"/>
          </w:rPr>
          <w:t>https://oria.org.au/wp-content/uploads/2012/02/ORIA-RESEARCH-IMPACT-REPORT-20191.pdf</w:t>
        </w:r>
      </w:hyperlink>
      <w:r>
        <w:rPr>
          <w:lang w:val="en-US"/>
        </w:rPr>
        <w:t xml:space="preserve">  </w:t>
      </w:r>
    </w:p>
  </w:footnote>
  <w:footnote w:id="25">
    <w:p w14:paraId="4DC5E0B5" w14:textId="77777777" w:rsidR="00D223D8" w:rsidRPr="002113FD" w:rsidRDefault="00D223D8" w:rsidP="00D223D8">
      <w:pPr>
        <w:pStyle w:val="FootnoteText"/>
        <w:rPr>
          <w:sz w:val="16"/>
          <w:szCs w:val="16"/>
          <w:lang w:val="en-US"/>
        </w:rPr>
      </w:pPr>
      <w:r>
        <w:rPr>
          <w:rStyle w:val="FootnoteReference"/>
        </w:rPr>
        <w:footnoteRef/>
      </w:r>
      <w:r>
        <w:t xml:space="preserve"> </w:t>
      </w:r>
      <w:r w:rsidRPr="002113FD">
        <w:rPr>
          <w:sz w:val="16"/>
          <w:szCs w:val="16"/>
        </w:rPr>
        <w:t>Cataract causes bilateral vision impairment in 20% of Aboriginal and Torres Strait Islander people aged 40 years and over and 14% of other Australians aged 50 years and older.</w:t>
      </w:r>
    </w:p>
  </w:footnote>
  <w:footnote w:id="26">
    <w:p w14:paraId="3B4A5360" w14:textId="77777777" w:rsidR="00D223D8" w:rsidRPr="00D65797" w:rsidRDefault="00D223D8" w:rsidP="00D223D8">
      <w:pPr>
        <w:pStyle w:val="FootnoteText"/>
        <w:rPr>
          <w:lang w:val="en-US"/>
        </w:rPr>
      </w:pPr>
      <w:r>
        <w:rPr>
          <w:rStyle w:val="FootnoteReference"/>
        </w:rPr>
        <w:footnoteRef/>
      </w:r>
      <w:r>
        <w:t xml:space="preserve"> </w:t>
      </w:r>
      <w:r w:rsidRPr="008030AD">
        <w:rPr>
          <w:sz w:val="16"/>
          <w:szCs w:val="16"/>
        </w:rPr>
        <w:t>The Fred Hollows Foundation by PricewaterhouseCoopers Australia, Investing in Vision: Comparing the costs and benefits of eliminating avoidable blindness and visual Impairment, February 2013</w:t>
      </w:r>
    </w:p>
  </w:footnote>
  <w:footnote w:id="27">
    <w:p w14:paraId="2D6D58A0" w14:textId="77777777" w:rsidR="00D223D8" w:rsidRPr="00F118F7" w:rsidRDefault="00D223D8" w:rsidP="00D223D8">
      <w:pPr>
        <w:pStyle w:val="FootnoteText"/>
        <w:rPr>
          <w:lang w:val="en-US"/>
        </w:rPr>
      </w:pPr>
      <w:r>
        <w:rPr>
          <w:rStyle w:val="FootnoteReference"/>
        </w:rPr>
        <w:footnoteRef/>
      </w:r>
      <w:r>
        <w:t xml:space="preserve"> </w:t>
      </w:r>
      <w:r w:rsidRPr="005D2C2D">
        <w:rPr>
          <w:sz w:val="16"/>
          <w:szCs w:val="16"/>
        </w:rPr>
        <w:t xml:space="preserve">In alignment with the Australia Governments </w:t>
      </w:r>
      <w:r w:rsidRPr="005D2C2D">
        <w:rPr>
          <w:rFonts w:eastAsia="Times New Roman"/>
          <w:sz w:val="16"/>
          <w:szCs w:val="16"/>
        </w:rPr>
        <w:t xml:space="preserve">National Strategic Action Plan for </w:t>
      </w:r>
      <w:r>
        <w:rPr>
          <w:rFonts w:eastAsia="Times New Roman"/>
          <w:sz w:val="16"/>
          <w:szCs w:val="16"/>
        </w:rPr>
        <w:t>M</w:t>
      </w:r>
      <w:r w:rsidRPr="005D2C2D">
        <w:rPr>
          <w:rFonts w:eastAsia="Times New Roman"/>
          <w:sz w:val="16"/>
          <w:szCs w:val="16"/>
        </w:rPr>
        <w:t xml:space="preserve">acular </w:t>
      </w:r>
      <w:r>
        <w:rPr>
          <w:rFonts w:eastAsia="Times New Roman"/>
          <w:sz w:val="16"/>
          <w:szCs w:val="16"/>
        </w:rPr>
        <w:t>D</w:t>
      </w:r>
      <w:r w:rsidRPr="005D2C2D">
        <w:rPr>
          <w:rFonts w:eastAsia="Times New Roman"/>
          <w:sz w:val="16"/>
          <w:szCs w:val="16"/>
        </w:rPr>
        <w:t xml:space="preserve">isease </w:t>
      </w:r>
      <w:hyperlink r:id="rId9" w:history="1">
        <w:r w:rsidRPr="005D2C2D">
          <w:rPr>
            <w:rStyle w:val="Hyperlink"/>
            <w:sz w:val="16"/>
            <w:szCs w:val="16"/>
          </w:rPr>
          <w:t>A better view - National Strategic Action Plan for Macular Disease (health.gov.au)</w:t>
        </w:r>
      </w:hyperlink>
      <w:r>
        <w:t xml:space="preserve"> </w:t>
      </w:r>
    </w:p>
  </w:footnote>
  <w:footnote w:id="28">
    <w:p w14:paraId="56EDC84B" w14:textId="77777777" w:rsidR="00D223D8" w:rsidRPr="00C7464D" w:rsidRDefault="00D223D8" w:rsidP="00C7464D">
      <w:pPr>
        <w:pStyle w:val="FootnoteText"/>
        <w:rPr>
          <w:sz w:val="16"/>
          <w:szCs w:val="16"/>
          <w:lang w:val="en-US"/>
        </w:rPr>
      </w:pPr>
      <w:r w:rsidRPr="00C7464D">
        <w:rPr>
          <w:rStyle w:val="FootnoteReference"/>
          <w:sz w:val="16"/>
          <w:szCs w:val="16"/>
        </w:rPr>
        <w:footnoteRef/>
      </w:r>
      <w:r w:rsidRPr="00C7464D">
        <w:rPr>
          <w:sz w:val="16"/>
          <w:szCs w:val="16"/>
        </w:rPr>
        <w:t xml:space="preserve"> </w:t>
      </w:r>
      <w:r w:rsidRPr="00C7464D">
        <w:rPr>
          <w:rFonts w:cstheme="minorHAnsi"/>
          <w:sz w:val="16"/>
          <w:szCs w:val="16"/>
        </w:rPr>
        <w:t xml:space="preserve">Australian Institute of Health and Welfare (2008), </w:t>
      </w:r>
      <w:hyperlink r:id="rId10" w:history="1">
        <w:r w:rsidRPr="00C7464D">
          <w:rPr>
            <w:rStyle w:val="Hyperlink"/>
            <w:rFonts w:cstheme="minorHAnsi"/>
            <w:i/>
            <w:sz w:val="16"/>
            <w:szCs w:val="16"/>
          </w:rPr>
          <w:t>Eye Health among Australian children</w:t>
        </w:r>
      </w:hyperlink>
      <w:r w:rsidRPr="00C7464D">
        <w:rPr>
          <w:rFonts w:cstheme="minorHAnsi"/>
          <w:color w:val="004A8D"/>
          <w:sz w:val="16"/>
          <w:szCs w:val="16"/>
        </w:rPr>
        <w:t xml:space="preserve">, </w:t>
      </w:r>
      <w:r w:rsidRPr="00C7464D">
        <w:rPr>
          <w:rStyle w:val="BodyTextChar"/>
          <w:rFonts w:eastAsia="Calibri" w:cstheme="minorHAnsi"/>
          <w:sz w:val="16"/>
          <w:szCs w:val="16"/>
        </w:rPr>
        <w:t>accessed 16 August 2021.</w:t>
      </w:r>
    </w:p>
  </w:footnote>
  <w:footnote w:id="29">
    <w:p w14:paraId="7B29BABC" w14:textId="77777777" w:rsidR="00D223D8" w:rsidRPr="00C7464D" w:rsidRDefault="00D223D8" w:rsidP="00C7464D">
      <w:pPr>
        <w:pStyle w:val="FootnoteText"/>
        <w:rPr>
          <w:sz w:val="16"/>
          <w:szCs w:val="16"/>
          <w:lang w:val="en-US"/>
        </w:rPr>
      </w:pPr>
      <w:r w:rsidRPr="00C7464D">
        <w:rPr>
          <w:rStyle w:val="FootnoteReference"/>
          <w:sz w:val="16"/>
          <w:szCs w:val="16"/>
        </w:rPr>
        <w:footnoteRef/>
      </w:r>
      <w:r w:rsidRPr="00C7464D">
        <w:rPr>
          <w:sz w:val="16"/>
          <w:szCs w:val="16"/>
        </w:rPr>
        <w:t xml:space="preserve"> </w:t>
      </w:r>
      <w:hyperlink r:id="rId11" w:history="1">
        <w:r w:rsidRPr="00C7464D">
          <w:rPr>
            <w:rStyle w:val="Hyperlink"/>
            <w:sz w:val="16"/>
            <w:szCs w:val="16"/>
          </w:rPr>
          <w:t>https://www.aihw.gov.au/getmedia/98252212-cc46-477d-a0f3-adcefe01cd25/ehaac.pdf.aspx?inline=true</w:t>
        </w:r>
      </w:hyperlink>
      <w:r w:rsidRPr="00C7464D">
        <w:rPr>
          <w:sz w:val="16"/>
          <w:szCs w:val="16"/>
        </w:rPr>
        <w:t xml:space="preserve"> </w:t>
      </w:r>
    </w:p>
  </w:footnote>
  <w:footnote w:id="30">
    <w:p w14:paraId="0AEDC82B" w14:textId="77777777" w:rsidR="00D223D8" w:rsidRPr="00C7464D" w:rsidRDefault="00D223D8" w:rsidP="00C7464D">
      <w:pPr>
        <w:pStyle w:val="FootnoteText"/>
        <w:rPr>
          <w:sz w:val="16"/>
          <w:szCs w:val="16"/>
        </w:rPr>
      </w:pPr>
      <w:r w:rsidRPr="00C7464D">
        <w:rPr>
          <w:rStyle w:val="FootnoteReference"/>
          <w:sz w:val="16"/>
          <w:szCs w:val="16"/>
        </w:rPr>
        <w:footnoteRef/>
      </w:r>
      <w:r w:rsidRPr="00C7464D">
        <w:rPr>
          <w:sz w:val="16"/>
          <w:szCs w:val="16"/>
        </w:rPr>
        <w:t xml:space="preserve"> </w:t>
      </w:r>
      <w:proofErr w:type="spellStart"/>
      <w:r w:rsidRPr="00C7464D">
        <w:rPr>
          <w:sz w:val="16"/>
          <w:szCs w:val="16"/>
        </w:rPr>
        <w:t>MacCuspie</w:t>
      </w:r>
      <w:proofErr w:type="spellEnd"/>
      <w:r w:rsidRPr="00C7464D">
        <w:rPr>
          <w:sz w:val="16"/>
          <w:szCs w:val="16"/>
        </w:rPr>
        <w:t xml:space="preserve">, P. A. "Implications of visual impairment for social interaction." PA </w:t>
      </w:r>
      <w:proofErr w:type="spellStart"/>
      <w:r w:rsidRPr="00C7464D">
        <w:rPr>
          <w:sz w:val="16"/>
          <w:szCs w:val="16"/>
        </w:rPr>
        <w:t>MacCuspie</w:t>
      </w:r>
      <w:proofErr w:type="spellEnd"/>
      <w:r w:rsidRPr="00C7464D">
        <w:rPr>
          <w:sz w:val="16"/>
          <w:szCs w:val="16"/>
        </w:rPr>
        <w:t>, Promoting acceptance of children with disabilities: From tolerance to inclusion. Halifax, Nova Scotia: APSEA (1996): 29-49.</w:t>
      </w:r>
    </w:p>
  </w:footnote>
  <w:footnote w:id="31">
    <w:p w14:paraId="5F24D57D" w14:textId="77777777" w:rsidR="00D223D8" w:rsidRPr="00C7464D" w:rsidRDefault="00D223D8" w:rsidP="00C7464D">
      <w:pPr>
        <w:pStyle w:val="FootnoteText"/>
        <w:rPr>
          <w:sz w:val="16"/>
          <w:szCs w:val="16"/>
        </w:rPr>
      </w:pPr>
      <w:r w:rsidRPr="00C7464D">
        <w:rPr>
          <w:rStyle w:val="FootnoteReference"/>
          <w:sz w:val="16"/>
          <w:szCs w:val="16"/>
        </w:rPr>
        <w:footnoteRef/>
      </w:r>
      <w:r w:rsidRPr="00C7464D">
        <w:rPr>
          <w:sz w:val="16"/>
          <w:szCs w:val="16"/>
        </w:rPr>
        <w:t xml:space="preserve"> American Optometric Association, “Comprehensive </w:t>
      </w:r>
      <w:proofErr w:type="spellStart"/>
      <w:r w:rsidRPr="00C7464D">
        <w:rPr>
          <w:sz w:val="16"/>
          <w:szCs w:val="16"/>
        </w:rPr>
        <w:t>pediatric</w:t>
      </w:r>
      <w:proofErr w:type="spellEnd"/>
      <w:r w:rsidRPr="00C7464D">
        <w:rPr>
          <w:sz w:val="16"/>
          <w:szCs w:val="16"/>
        </w:rPr>
        <w:t xml:space="preserve"> eye and vision examination” (Accessed 3/10/10) http://aoa.uberflip.com/i/807465-cpg-pediatric-eye-and-vision-examination/9?m4=</w:t>
      </w:r>
    </w:p>
  </w:footnote>
  <w:footnote w:id="32">
    <w:p w14:paraId="231EFB45" w14:textId="77777777" w:rsidR="00D223D8" w:rsidRPr="00C7464D" w:rsidRDefault="00D223D8" w:rsidP="00C7464D">
      <w:pPr>
        <w:pStyle w:val="FootnoteText"/>
        <w:rPr>
          <w:sz w:val="16"/>
          <w:szCs w:val="16"/>
          <w:lang w:val="en-US"/>
        </w:rPr>
      </w:pPr>
      <w:r w:rsidRPr="00C7464D">
        <w:rPr>
          <w:rStyle w:val="FootnoteReference"/>
          <w:sz w:val="16"/>
          <w:szCs w:val="16"/>
        </w:rPr>
        <w:footnoteRef/>
      </w:r>
      <w:r w:rsidRPr="00C7464D">
        <w:rPr>
          <w:sz w:val="16"/>
          <w:szCs w:val="16"/>
        </w:rPr>
        <w:t xml:space="preserve"> Burton, M J., et </w:t>
      </w:r>
      <w:r w:rsidRPr="00C7464D">
        <w:rPr>
          <w:sz w:val="16"/>
          <w:szCs w:val="16"/>
          <w:lang w:val="en-US"/>
        </w:rPr>
        <w:t xml:space="preserve">al. The Lancet Global Health Commission on Global Eye Health: vision beyond </w:t>
      </w:r>
      <w:proofErr w:type="gramStart"/>
      <w:r w:rsidRPr="00C7464D">
        <w:rPr>
          <w:sz w:val="16"/>
          <w:szCs w:val="16"/>
          <w:lang w:val="en-US"/>
        </w:rPr>
        <w:t>2020,  The</w:t>
      </w:r>
      <w:proofErr w:type="gramEnd"/>
      <w:r w:rsidRPr="00C7464D">
        <w:rPr>
          <w:sz w:val="16"/>
          <w:szCs w:val="16"/>
          <w:lang w:val="en-US"/>
        </w:rPr>
        <w:t xml:space="preserve"> Lancet, published online February 16, 2021.</w:t>
      </w:r>
      <w:r w:rsidRPr="00C7464D">
        <w:rPr>
          <w:rFonts w:eastAsia="Times New Roman" w:cs="Times New Roman"/>
          <w:sz w:val="16"/>
          <w:szCs w:val="16"/>
        </w:rPr>
        <w:t xml:space="preserve"> </w:t>
      </w:r>
    </w:p>
  </w:footnote>
  <w:footnote w:id="33">
    <w:p w14:paraId="769A5E41" w14:textId="77777777" w:rsidR="00D223D8" w:rsidRPr="00C7464D" w:rsidRDefault="00D223D8" w:rsidP="00C7464D">
      <w:pPr>
        <w:pStyle w:val="FootnoteText"/>
        <w:rPr>
          <w:sz w:val="16"/>
          <w:szCs w:val="16"/>
          <w:lang w:val="en-US"/>
        </w:rPr>
      </w:pPr>
      <w:r w:rsidRPr="00C7464D">
        <w:rPr>
          <w:rStyle w:val="FootnoteReference"/>
          <w:sz w:val="16"/>
          <w:szCs w:val="16"/>
        </w:rPr>
        <w:footnoteRef/>
      </w:r>
      <w:r w:rsidRPr="00C7464D">
        <w:rPr>
          <w:sz w:val="16"/>
          <w:szCs w:val="16"/>
        </w:rPr>
        <w:t xml:space="preserve"> </w:t>
      </w:r>
      <w:r w:rsidRPr="00C7464D">
        <w:rPr>
          <w:rFonts w:ascii="Arial" w:eastAsia="Arial" w:hAnsi="Arial" w:cs="Arial"/>
          <w:sz w:val="16"/>
          <w:szCs w:val="16"/>
        </w:rPr>
        <w:t xml:space="preserve">Integrated Care Strategy (2018), </w:t>
      </w:r>
      <w:hyperlink r:id="rId12" w:history="1">
        <w:r w:rsidRPr="00C7464D">
          <w:rPr>
            <w:rStyle w:val="Hyperlink"/>
            <w:rFonts w:ascii="Arial" w:eastAsia="Arial" w:hAnsi="Arial" w:cs="Arial"/>
            <w:i/>
            <w:iCs/>
            <w:sz w:val="16"/>
            <w:szCs w:val="16"/>
          </w:rPr>
          <w:t xml:space="preserve">Evaluation of the </w:t>
        </w:r>
        <w:proofErr w:type="spellStart"/>
        <w:r w:rsidRPr="00C7464D">
          <w:rPr>
            <w:rStyle w:val="Hyperlink"/>
            <w:rFonts w:ascii="Arial" w:eastAsia="Arial" w:hAnsi="Arial" w:cs="Arial"/>
            <w:i/>
            <w:iCs/>
            <w:sz w:val="16"/>
            <w:szCs w:val="16"/>
          </w:rPr>
          <w:t>Statewide</w:t>
        </w:r>
        <w:proofErr w:type="spellEnd"/>
        <w:r w:rsidRPr="00C7464D">
          <w:rPr>
            <w:rStyle w:val="Hyperlink"/>
            <w:rFonts w:ascii="Arial" w:eastAsia="Arial" w:hAnsi="Arial" w:cs="Arial"/>
            <w:i/>
            <w:iCs/>
            <w:sz w:val="16"/>
            <w:szCs w:val="16"/>
          </w:rPr>
          <w:t xml:space="preserve"> Eyesight </w:t>
        </w:r>
        <w:proofErr w:type="spellStart"/>
        <w:r w:rsidRPr="00C7464D">
          <w:rPr>
            <w:rStyle w:val="Hyperlink"/>
            <w:rFonts w:ascii="Arial" w:eastAsia="Arial" w:hAnsi="Arial" w:cs="Arial"/>
            <w:i/>
            <w:iCs/>
            <w:sz w:val="16"/>
            <w:szCs w:val="16"/>
          </w:rPr>
          <w:t>Preschooler</w:t>
        </w:r>
        <w:proofErr w:type="spellEnd"/>
        <w:r w:rsidRPr="00C7464D">
          <w:rPr>
            <w:rStyle w:val="Hyperlink"/>
            <w:rFonts w:ascii="Arial" w:eastAsia="Arial" w:hAnsi="Arial" w:cs="Arial"/>
            <w:i/>
            <w:iCs/>
            <w:sz w:val="16"/>
            <w:szCs w:val="16"/>
          </w:rPr>
          <w:t xml:space="preserve"> Program (</w:t>
        </w:r>
        <w:proofErr w:type="spellStart"/>
        <w:r w:rsidRPr="00C7464D">
          <w:rPr>
            <w:rStyle w:val="Hyperlink"/>
            <w:rFonts w:ascii="Arial" w:eastAsia="Arial" w:hAnsi="Arial" w:cs="Arial"/>
            <w:i/>
            <w:iCs/>
            <w:sz w:val="16"/>
            <w:szCs w:val="16"/>
          </w:rPr>
          <w:t>StEPS</w:t>
        </w:r>
        <w:proofErr w:type="spellEnd"/>
        <w:r w:rsidRPr="00C7464D">
          <w:rPr>
            <w:rStyle w:val="Hyperlink"/>
            <w:rFonts w:ascii="Arial" w:eastAsia="Arial" w:hAnsi="Arial" w:cs="Arial"/>
            <w:i/>
            <w:iCs/>
            <w:sz w:val="16"/>
            <w:szCs w:val="16"/>
          </w:rPr>
          <w:t>) Final Report</w:t>
        </w:r>
      </w:hyperlink>
      <w:r w:rsidRPr="00C7464D">
        <w:rPr>
          <w:rFonts w:ascii="Arial" w:eastAsia="Arial" w:hAnsi="Arial" w:cs="Arial"/>
          <w:sz w:val="16"/>
          <w:szCs w:val="16"/>
        </w:rPr>
        <w:t>, New South Wales Government, accessed 16 August 2021</w:t>
      </w:r>
    </w:p>
  </w:footnote>
  <w:footnote w:id="34">
    <w:p w14:paraId="1B1EDBCD" w14:textId="77777777" w:rsidR="00D223D8" w:rsidRPr="00C7464D" w:rsidRDefault="00D223D8" w:rsidP="00C7464D">
      <w:pPr>
        <w:pStyle w:val="FootnoteText"/>
        <w:rPr>
          <w:sz w:val="16"/>
          <w:szCs w:val="16"/>
          <w:lang w:val="en-US"/>
        </w:rPr>
      </w:pPr>
      <w:r w:rsidRPr="00C7464D">
        <w:rPr>
          <w:rStyle w:val="FootnoteReference"/>
          <w:sz w:val="16"/>
          <w:szCs w:val="16"/>
        </w:rPr>
        <w:footnoteRef/>
      </w:r>
      <w:r w:rsidRPr="00C7464D">
        <w:rPr>
          <w:sz w:val="16"/>
          <w:szCs w:val="16"/>
        </w:rPr>
        <w:t xml:space="preserve"> </w:t>
      </w:r>
      <w:r w:rsidRPr="00C7464D">
        <w:rPr>
          <w:rFonts w:ascii="Arial" w:hAnsi="Arial" w:cs="Arial"/>
          <w:sz w:val="16"/>
          <w:szCs w:val="16"/>
        </w:rPr>
        <w:t>Incremental cost effectiveness ratio of $13,942 per QALY gained.</w:t>
      </w:r>
      <w:r w:rsidRPr="00C7464D">
        <w:rPr>
          <w:rFonts w:eastAsia="Calibri"/>
          <w:sz w:val="16"/>
          <w:szCs w:val="16"/>
        </w:rPr>
        <w:t xml:space="preserve"> </w:t>
      </w:r>
    </w:p>
  </w:footnote>
  <w:footnote w:id="35">
    <w:p w14:paraId="09E30870" w14:textId="77777777" w:rsidR="00D223D8" w:rsidRPr="00C7464D" w:rsidRDefault="00D223D8" w:rsidP="00C7464D">
      <w:pPr>
        <w:pStyle w:val="FootnoteText"/>
        <w:rPr>
          <w:sz w:val="16"/>
          <w:szCs w:val="16"/>
          <w:lang w:val="en-US"/>
        </w:rPr>
      </w:pPr>
      <w:r w:rsidRPr="00C7464D">
        <w:rPr>
          <w:rStyle w:val="FootnoteReference"/>
          <w:sz w:val="16"/>
          <w:szCs w:val="16"/>
        </w:rPr>
        <w:footnoteRef/>
      </w:r>
      <w:r w:rsidRPr="00C7464D">
        <w:rPr>
          <w:sz w:val="16"/>
          <w:szCs w:val="16"/>
        </w:rPr>
        <w:t xml:space="preserve"> </w:t>
      </w:r>
      <w:r w:rsidRPr="00C7464D">
        <w:rPr>
          <w:rFonts w:ascii="Arial" w:eastAsia="Arial" w:hAnsi="Arial" w:cs="Arial"/>
          <w:sz w:val="16"/>
          <w:szCs w:val="16"/>
        </w:rPr>
        <w:t xml:space="preserve">Integrated Care Strategy (2018), </w:t>
      </w:r>
      <w:hyperlink r:id="rId13" w:history="1">
        <w:r w:rsidRPr="00C7464D">
          <w:rPr>
            <w:rStyle w:val="Hyperlink"/>
            <w:rFonts w:ascii="Arial" w:eastAsia="Arial" w:hAnsi="Arial" w:cs="Arial"/>
            <w:i/>
            <w:iCs/>
            <w:sz w:val="16"/>
            <w:szCs w:val="16"/>
          </w:rPr>
          <w:t xml:space="preserve">Evaluation of the </w:t>
        </w:r>
        <w:proofErr w:type="spellStart"/>
        <w:r w:rsidRPr="00C7464D">
          <w:rPr>
            <w:rStyle w:val="Hyperlink"/>
            <w:rFonts w:ascii="Arial" w:eastAsia="Arial" w:hAnsi="Arial" w:cs="Arial"/>
            <w:i/>
            <w:iCs/>
            <w:sz w:val="16"/>
            <w:szCs w:val="16"/>
          </w:rPr>
          <w:t>Statewide</w:t>
        </w:r>
        <w:proofErr w:type="spellEnd"/>
        <w:r w:rsidRPr="00C7464D">
          <w:rPr>
            <w:rStyle w:val="Hyperlink"/>
            <w:rFonts w:ascii="Arial" w:eastAsia="Arial" w:hAnsi="Arial" w:cs="Arial"/>
            <w:i/>
            <w:iCs/>
            <w:sz w:val="16"/>
            <w:szCs w:val="16"/>
          </w:rPr>
          <w:t xml:space="preserve"> Eyesight </w:t>
        </w:r>
        <w:proofErr w:type="spellStart"/>
        <w:r w:rsidRPr="00C7464D">
          <w:rPr>
            <w:rStyle w:val="Hyperlink"/>
            <w:rFonts w:ascii="Arial" w:eastAsia="Arial" w:hAnsi="Arial" w:cs="Arial"/>
            <w:i/>
            <w:iCs/>
            <w:sz w:val="16"/>
            <w:szCs w:val="16"/>
          </w:rPr>
          <w:t>Preschooler</w:t>
        </w:r>
        <w:proofErr w:type="spellEnd"/>
        <w:r w:rsidRPr="00C7464D">
          <w:rPr>
            <w:rStyle w:val="Hyperlink"/>
            <w:rFonts w:ascii="Arial" w:eastAsia="Arial" w:hAnsi="Arial" w:cs="Arial"/>
            <w:i/>
            <w:iCs/>
            <w:sz w:val="16"/>
            <w:szCs w:val="16"/>
          </w:rPr>
          <w:t xml:space="preserve"> Program (</w:t>
        </w:r>
        <w:proofErr w:type="spellStart"/>
        <w:r w:rsidRPr="00C7464D">
          <w:rPr>
            <w:rStyle w:val="Hyperlink"/>
            <w:rFonts w:ascii="Arial" w:eastAsia="Arial" w:hAnsi="Arial" w:cs="Arial"/>
            <w:i/>
            <w:iCs/>
            <w:sz w:val="16"/>
            <w:szCs w:val="16"/>
          </w:rPr>
          <w:t>StEPS</w:t>
        </w:r>
        <w:proofErr w:type="spellEnd"/>
        <w:r w:rsidRPr="00C7464D">
          <w:rPr>
            <w:rStyle w:val="Hyperlink"/>
            <w:rFonts w:ascii="Arial" w:eastAsia="Arial" w:hAnsi="Arial" w:cs="Arial"/>
            <w:i/>
            <w:iCs/>
            <w:sz w:val="16"/>
            <w:szCs w:val="16"/>
          </w:rPr>
          <w:t>) Final Report</w:t>
        </w:r>
      </w:hyperlink>
      <w:r w:rsidRPr="00C7464D">
        <w:rPr>
          <w:rFonts w:ascii="Arial" w:eastAsia="Arial" w:hAnsi="Arial" w:cs="Arial"/>
          <w:sz w:val="16"/>
          <w:szCs w:val="16"/>
        </w:rPr>
        <w:t>, New South Wales Government, accessed 16 August 2021</w:t>
      </w:r>
    </w:p>
    <w:p w14:paraId="65C776AB" w14:textId="77777777" w:rsidR="00D223D8" w:rsidRPr="00AA6ADB" w:rsidRDefault="00D223D8" w:rsidP="00D223D8">
      <w:pPr>
        <w:pStyle w:val="FootnoteText"/>
        <w:rPr>
          <w:lang w:val="en-US"/>
        </w:rPr>
      </w:pPr>
    </w:p>
  </w:footnote>
  <w:footnote w:id="36">
    <w:p w14:paraId="302070FD" w14:textId="77777777" w:rsidR="00D223D8" w:rsidRPr="008E7613" w:rsidRDefault="00D223D8" w:rsidP="00D223D8">
      <w:pPr>
        <w:pStyle w:val="FootnoteText"/>
        <w:rPr>
          <w:lang w:val="en-US"/>
        </w:rPr>
      </w:pPr>
      <w:r>
        <w:rPr>
          <w:rStyle w:val="FootnoteReference"/>
        </w:rPr>
        <w:footnoteRef/>
      </w:r>
      <w:r>
        <w:t xml:space="preserve"> </w:t>
      </w:r>
      <w:r>
        <w:rPr>
          <w:rStyle w:val="FootnoteReference"/>
        </w:rPr>
        <w:footnoteRef/>
      </w:r>
      <w:r>
        <w:t xml:space="preserve"> </w:t>
      </w:r>
      <w:r w:rsidRPr="002A4058">
        <w:rPr>
          <w:sz w:val="16"/>
          <w:szCs w:val="16"/>
        </w:rPr>
        <w:t>https://www.disabilitygateway.gov.au/sites/default/files/documents/2021-11/1786-australias-disability.pdf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4DB4" w14:textId="77777777" w:rsidR="00233A8B" w:rsidRDefault="00233A8B" w:rsidP="00593AF4">
    <w:pPr>
      <w:pStyle w:val="Header"/>
      <w:jc w:val="right"/>
    </w:pPr>
  </w:p>
  <w:p w14:paraId="6D8FEA0C" w14:textId="77777777" w:rsidR="00233A8B" w:rsidRDefault="00233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7284AE9"/>
    <w:multiLevelType w:val="multilevel"/>
    <w:tmpl w:val="6706DB1E"/>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sz w:val="24"/>
      </w:rPr>
    </w:lvl>
    <w:lvl w:ilvl="1">
      <w:start w:val="1"/>
      <w:numFmt w:val="lowerRoman"/>
      <w:pStyle w:val="ListAlpha2"/>
      <w:lvlText w:val="%2."/>
      <w:lvlJc w:val="left"/>
      <w:pPr>
        <w:tabs>
          <w:tab w:val="num" w:pos="850"/>
        </w:tabs>
        <w:ind w:left="850" w:hanging="425"/>
      </w:pPr>
      <w:rPr>
        <w:rFonts w:asciiTheme="minorHAnsi" w:hAnsiTheme="minorHAnsi" w:hint="default"/>
        <w:color w:val="auto"/>
        <w:sz w:val="24"/>
      </w:rPr>
    </w:lvl>
    <w:lvl w:ilvl="2">
      <w:start w:val="1"/>
      <w:numFmt w:val="decimal"/>
      <w:pStyle w:val="ListAlpha3"/>
      <w:lvlText w:val="%3."/>
      <w:lvlJc w:val="left"/>
      <w:pPr>
        <w:tabs>
          <w:tab w:val="num" w:pos="1275"/>
        </w:tabs>
        <w:ind w:left="1275" w:hanging="425"/>
      </w:pPr>
      <w:rPr>
        <w:rFonts w:asciiTheme="minorHAnsi" w:hAnsiTheme="minorHAnsi" w:hint="default"/>
        <w:color w:val="auto"/>
        <w:sz w:val="24"/>
      </w:rPr>
    </w:lvl>
    <w:lvl w:ilvl="3">
      <w:start w:val="1"/>
      <w:numFmt w:val="upperLetter"/>
      <w:pStyle w:val="ListAlpha4"/>
      <w:lvlText w:val="%4."/>
      <w:lvlJc w:val="left"/>
      <w:pPr>
        <w:tabs>
          <w:tab w:val="num" w:pos="1700"/>
        </w:tabs>
        <w:ind w:left="1700" w:hanging="425"/>
      </w:pPr>
      <w:rPr>
        <w:rFonts w:asciiTheme="minorHAnsi" w:hAnsiTheme="minorHAnsi" w:hint="default"/>
        <w:color w:val="auto"/>
        <w:sz w:val="24"/>
      </w:rPr>
    </w:lvl>
    <w:lvl w:ilvl="4">
      <w:start w:val="1"/>
      <w:numFmt w:val="upperRoman"/>
      <w:lvlText w:val="%5."/>
      <w:lvlJc w:val="left"/>
      <w:pPr>
        <w:tabs>
          <w:tab w:val="num" w:pos="2125"/>
        </w:tabs>
        <w:ind w:left="2125" w:hanging="425"/>
      </w:pPr>
      <w:rPr>
        <w:rFonts w:asciiTheme="minorHAnsi" w:hAnsiTheme="minorHAnsi" w:hint="default"/>
        <w:color w:val="auto"/>
        <w:sz w:val="24"/>
      </w:rPr>
    </w:lvl>
    <w:lvl w:ilvl="5">
      <w:start w:val="1"/>
      <w:numFmt w:val="decimal"/>
      <w:pStyle w:val="ListAlpha6"/>
      <w:lvlText w:val="%6."/>
      <w:lvlJc w:val="left"/>
      <w:pPr>
        <w:tabs>
          <w:tab w:val="num" w:pos="2550"/>
        </w:tabs>
        <w:ind w:left="2550" w:hanging="425"/>
      </w:pPr>
      <w:rPr>
        <w:rFonts w:asciiTheme="minorHAnsi" w:hAnsiTheme="minorHAnsi" w:hint="default"/>
        <w:color w:val="auto"/>
        <w:sz w:val="22"/>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2" w15:restartNumberingAfterBreak="0">
    <w:nsid w:val="0CB82EF8"/>
    <w:multiLevelType w:val="multilevel"/>
    <w:tmpl w:val="1556E92C"/>
    <w:styleLink w:val="ListAttachment"/>
    <w:lvl w:ilvl="0">
      <w:start w:val="1"/>
      <w:numFmt w:val="upperLetter"/>
      <w:lvlRestart w:val="0"/>
      <w:pStyle w:val="AttachmentH1"/>
      <w:lvlText w:val="Attachment %1"/>
      <w:lvlJc w:val="left"/>
      <w:pPr>
        <w:tabs>
          <w:tab w:val="num" w:pos="2552"/>
        </w:tabs>
        <w:ind w:left="2552" w:hanging="2552"/>
      </w:pPr>
      <w:rPr>
        <w:rFonts w:ascii="Arial" w:hAnsi="Arial" w:hint="default"/>
        <w:color w:val="auto"/>
        <w:sz w:val="36"/>
        <w:szCs w:val="32"/>
      </w:rPr>
    </w:lvl>
    <w:lvl w:ilvl="1">
      <w:start w:val="1"/>
      <w:numFmt w:val="decimal"/>
      <w:pStyle w:val="AttachmentH2"/>
      <w:lvlText w:val="%1-%2"/>
      <w:lvlJc w:val="left"/>
      <w:pPr>
        <w:tabs>
          <w:tab w:val="num" w:pos="851"/>
        </w:tabs>
        <w:ind w:left="851" w:hanging="851"/>
      </w:pPr>
      <w:rPr>
        <w:rFonts w:hint="default"/>
      </w:rPr>
    </w:lvl>
    <w:lvl w:ilvl="2">
      <w:start w:val="1"/>
      <w:numFmt w:val="decimal"/>
      <w:pStyle w:val="AttachmentH3"/>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4"/>
      </w:rPr>
    </w:lvl>
    <w:lvl w:ilvl="1">
      <w:start w:val="1"/>
      <w:numFmt w:val="bullet"/>
      <w:pStyle w:val="TableBullet2"/>
      <w:lvlText w:val="‐"/>
      <w:lvlJc w:val="left"/>
      <w:pPr>
        <w:tabs>
          <w:tab w:val="num" w:pos="567"/>
        </w:tabs>
        <w:ind w:left="567" w:hanging="283"/>
      </w:pPr>
      <w:rPr>
        <w:rFonts w:ascii="Trebuchet MS" w:hAnsi="Trebuchet MS" w:cs="Times New Roman" w:hint="default"/>
        <w:color w:val="auto"/>
        <w:sz w:val="24"/>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0D203C94"/>
    <w:multiLevelType w:val="multilevel"/>
    <w:tmpl w:val="56FA2D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1E76BF1"/>
    <w:multiLevelType w:val="multilevel"/>
    <w:tmpl w:val="BDFC207A"/>
    <w:numStyleLink w:val="ListTableNumber"/>
  </w:abstractNum>
  <w:abstractNum w:abstractNumId="6" w15:restartNumberingAfterBreak="0">
    <w:nsid w:val="1AC10B81"/>
    <w:multiLevelType w:val="hybridMultilevel"/>
    <w:tmpl w:val="AA0645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917010"/>
    <w:multiLevelType w:val="hybridMultilevel"/>
    <w:tmpl w:val="FFFFFFFF"/>
    <w:lvl w:ilvl="0" w:tplc="C3FE6486">
      <w:start w:val="1"/>
      <w:numFmt w:val="bullet"/>
      <w:lvlText w:val="·"/>
      <w:lvlJc w:val="left"/>
      <w:pPr>
        <w:ind w:left="720" w:hanging="360"/>
      </w:pPr>
      <w:rPr>
        <w:rFonts w:ascii="Symbol" w:hAnsi="Symbol" w:hint="default"/>
      </w:rPr>
    </w:lvl>
    <w:lvl w:ilvl="1" w:tplc="DD8CCB64">
      <w:start w:val="1"/>
      <w:numFmt w:val="bullet"/>
      <w:lvlText w:val="o"/>
      <w:lvlJc w:val="left"/>
      <w:pPr>
        <w:ind w:left="1440" w:hanging="360"/>
      </w:pPr>
      <w:rPr>
        <w:rFonts w:ascii="Courier New" w:hAnsi="Courier New" w:hint="default"/>
      </w:rPr>
    </w:lvl>
    <w:lvl w:ilvl="2" w:tplc="52109704">
      <w:start w:val="1"/>
      <w:numFmt w:val="bullet"/>
      <w:lvlText w:val=""/>
      <w:lvlJc w:val="left"/>
      <w:pPr>
        <w:ind w:left="2160" w:hanging="360"/>
      </w:pPr>
      <w:rPr>
        <w:rFonts w:ascii="Wingdings" w:hAnsi="Wingdings" w:hint="default"/>
      </w:rPr>
    </w:lvl>
    <w:lvl w:ilvl="3" w:tplc="17A8F038">
      <w:start w:val="1"/>
      <w:numFmt w:val="bullet"/>
      <w:lvlText w:val=""/>
      <w:lvlJc w:val="left"/>
      <w:pPr>
        <w:ind w:left="2880" w:hanging="360"/>
      </w:pPr>
      <w:rPr>
        <w:rFonts w:ascii="Symbol" w:hAnsi="Symbol" w:hint="default"/>
      </w:rPr>
    </w:lvl>
    <w:lvl w:ilvl="4" w:tplc="3A901E5E">
      <w:start w:val="1"/>
      <w:numFmt w:val="bullet"/>
      <w:lvlText w:val="o"/>
      <w:lvlJc w:val="left"/>
      <w:pPr>
        <w:ind w:left="3600" w:hanging="360"/>
      </w:pPr>
      <w:rPr>
        <w:rFonts w:ascii="Courier New" w:hAnsi="Courier New" w:hint="default"/>
      </w:rPr>
    </w:lvl>
    <w:lvl w:ilvl="5" w:tplc="61DED970">
      <w:start w:val="1"/>
      <w:numFmt w:val="bullet"/>
      <w:lvlText w:val=""/>
      <w:lvlJc w:val="left"/>
      <w:pPr>
        <w:ind w:left="4320" w:hanging="360"/>
      </w:pPr>
      <w:rPr>
        <w:rFonts w:ascii="Wingdings" w:hAnsi="Wingdings" w:hint="default"/>
      </w:rPr>
    </w:lvl>
    <w:lvl w:ilvl="6" w:tplc="36A48628">
      <w:start w:val="1"/>
      <w:numFmt w:val="bullet"/>
      <w:lvlText w:val=""/>
      <w:lvlJc w:val="left"/>
      <w:pPr>
        <w:ind w:left="5040" w:hanging="360"/>
      </w:pPr>
      <w:rPr>
        <w:rFonts w:ascii="Symbol" w:hAnsi="Symbol" w:hint="default"/>
      </w:rPr>
    </w:lvl>
    <w:lvl w:ilvl="7" w:tplc="31F617C0">
      <w:start w:val="1"/>
      <w:numFmt w:val="bullet"/>
      <w:lvlText w:val="o"/>
      <w:lvlJc w:val="left"/>
      <w:pPr>
        <w:ind w:left="5760" w:hanging="360"/>
      </w:pPr>
      <w:rPr>
        <w:rFonts w:ascii="Courier New" w:hAnsi="Courier New" w:hint="default"/>
      </w:rPr>
    </w:lvl>
    <w:lvl w:ilvl="8" w:tplc="691831EE">
      <w:start w:val="1"/>
      <w:numFmt w:val="bullet"/>
      <w:lvlText w:val=""/>
      <w:lvlJc w:val="left"/>
      <w:pPr>
        <w:ind w:left="6480" w:hanging="360"/>
      </w:pPr>
      <w:rPr>
        <w:rFonts w:ascii="Wingdings" w:hAnsi="Wingdings" w:hint="default"/>
      </w:rPr>
    </w:lvl>
  </w:abstractNum>
  <w:abstractNum w:abstractNumId="8" w15:restartNumberingAfterBreak="0">
    <w:nsid w:val="2222299A"/>
    <w:multiLevelType w:val="multilevel"/>
    <w:tmpl w:val="624681D2"/>
    <w:numStyleLink w:val="ListTableBullet"/>
  </w:abstractNum>
  <w:abstractNum w:abstractNumId="9" w15:restartNumberingAfterBreak="0">
    <w:nsid w:val="24741D40"/>
    <w:multiLevelType w:val="multilevel"/>
    <w:tmpl w:val="2FAA1644"/>
    <w:styleLink w:val="ListParagraph00"/>
    <w:lvl w:ilvl="0">
      <w:start w:val="1"/>
      <w:numFmt w:val="decimal"/>
      <w:pStyle w:val="ListNumber"/>
      <w:lvlText w:val="%1."/>
      <w:lvlJc w:val="left"/>
      <w:pPr>
        <w:tabs>
          <w:tab w:val="num" w:pos="425"/>
        </w:tabs>
        <w:ind w:left="425" w:hanging="425"/>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1"/>
        </w:tabs>
        <w:ind w:left="850" w:hanging="425"/>
      </w:pPr>
      <w:rPr>
        <w:rFonts w:asciiTheme="minorHAnsi" w:hAnsiTheme="minorHAnsi" w:hint="default"/>
        <w:b w:val="0"/>
        <w:i w:val="0"/>
        <w:color w:val="auto"/>
        <w:sz w:val="24"/>
      </w:rPr>
    </w:lvl>
    <w:lvl w:ilvl="2">
      <w:start w:val="1"/>
      <w:numFmt w:val="lowerRoman"/>
      <w:pStyle w:val="ListNumber3"/>
      <w:lvlText w:val="%3."/>
      <w:lvlJc w:val="left"/>
      <w:pPr>
        <w:tabs>
          <w:tab w:val="num" w:pos="1276"/>
        </w:tabs>
        <w:ind w:left="1275" w:hanging="425"/>
      </w:pPr>
      <w:rPr>
        <w:rFonts w:asciiTheme="minorHAnsi" w:hAnsiTheme="minorHAnsi" w:hint="default"/>
        <w:b w:val="0"/>
        <w:i w:val="0"/>
        <w:color w:val="auto"/>
        <w:sz w:val="24"/>
      </w:rPr>
    </w:lvl>
    <w:lvl w:ilvl="3">
      <w:start w:val="1"/>
      <w:numFmt w:val="upperLetter"/>
      <w:pStyle w:val="ListNumber4"/>
      <w:lvlText w:val="%4."/>
      <w:lvlJc w:val="left"/>
      <w:pPr>
        <w:tabs>
          <w:tab w:val="num" w:pos="1701"/>
        </w:tabs>
        <w:ind w:left="1700" w:hanging="425"/>
      </w:pPr>
      <w:rPr>
        <w:rFonts w:asciiTheme="minorHAnsi" w:hAnsiTheme="minorHAnsi" w:hint="default"/>
        <w:b w:val="0"/>
        <w:i w:val="0"/>
        <w:color w:val="auto"/>
        <w:sz w:val="24"/>
      </w:rPr>
    </w:lvl>
    <w:lvl w:ilvl="4">
      <w:start w:val="1"/>
      <w:numFmt w:val="upperRoman"/>
      <w:pStyle w:val="ListNumber5"/>
      <w:lvlText w:val="%5."/>
      <w:lvlJc w:val="left"/>
      <w:pPr>
        <w:tabs>
          <w:tab w:val="num" w:pos="2126"/>
        </w:tabs>
        <w:ind w:left="2125" w:hanging="425"/>
      </w:pPr>
      <w:rPr>
        <w:rFonts w:asciiTheme="minorHAnsi" w:hAnsiTheme="minorHAnsi" w:hint="default"/>
        <w:b w:val="0"/>
        <w:i w:val="0"/>
        <w:color w:val="auto"/>
        <w:sz w:val="24"/>
      </w:rPr>
    </w:lvl>
    <w:lvl w:ilvl="5">
      <w:start w:val="1"/>
      <w:numFmt w:val="decimal"/>
      <w:pStyle w:val="ListNumber6"/>
      <w:lvlText w:val="%6."/>
      <w:lvlJc w:val="left"/>
      <w:pPr>
        <w:tabs>
          <w:tab w:val="num" w:pos="2552"/>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0" w15:restartNumberingAfterBreak="0">
    <w:nsid w:val="353912ED"/>
    <w:multiLevelType w:val="multilevel"/>
    <w:tmpl w:val="93023612"/>
    <w:styleLink w:val="ListBullet"/>
    <w:lvl w:ilvl="0">
      <w:start w:val="1"/>
      <w:numFmt w:val="bullet"/>
      <w:pStyle w:val="ListBullet0"/>
      <w:lvlText w:val=""/>
      <w:lvlJc w:val="left"/>
      <w:pPr>
        <w:tabs>
          <w:tab w:val="num" w:pos="425"/>
        </w:tabs>
        <w:ind w:left="425" w:hanging="425"/>
      </w:pPr>
      <w:rPr>
        <w:rFonts w:ascii="Symbol" w:hAnsi="Symbol" w:cs="Times New Roman" w:hint="default"/>
        <w:b w:val="0"/>
        <w:i w:val="0"/>
        <w:color w:val="auto"/>
        <w:sz w:val="20"/>
        <w:szCs w:val="20"/>
      </w:rPr>
    </w:lvl>
    <w:lvl w:ilvl="1">
      <w:start w:val="1"/>
      <w:numFmt w:val="bullet"/>
      <w:pStyle w:val="ListBullet2"/>
      <w:lvlText w:val="‐"/>
      <w:lvlJc w:val="left"/>
      <w:pPr>
        <w:tabs>
          <w:tab w:val="num" w:pos="851"/>
        </w:tabs>
        <w:ind w:left="851" w:hanging="426"/>
      </w:pPr>
      <w:rPr>
        <w:rFonts w:ascii="Times New Roman" w:hAnsi="Times New Roman" w:cs="Times New Roman" w:hint="default"/>
        <w:caps w:val="0"/>
        <w:strike w:val="0"/>
        <w:dstrike w:val="0"/>
        <w:vanish w:val="0"/>
        <w:color w:val="auto"/>
        <w:sz w:val="22"/>
        <w:u w:val="none"/>
        <w:vertAlign w:val="baseline"/>
      </w:rPr>
    </w:lvl>
    <w:lvl w:ilvl="2">
      <w:start w:val="1"/>
      <w:numFmt w:val="bullet"/>
      <w:pStyle w:val="ListBullet3"/>
      <w:lvlText w:val=""/>
      <w:lvlJc w:val="left"/>
      <w:pPr>
        <w:tabs>
          <w:tab w:val="num" w:pos="1276"/>
        </w:tabs>
        <w:ind w:left="1276" w:hanging="425"/>
      </w:pPr>
      <w:rPr>
        <w:rFonts w:ascii="Symbol" w:hAnsi="Symbol" w:hint="default"/>
        <w:color w:val="auto"/>
        <w:sz w:val="20"/>
      </w:rPr>
    </w:lvl>
    <w:lvl w:ilvl="3">
      <w:start w:val="1"/>
      <w:numFmt w:val="bullet"/>
      <w:pStyle w:val="ListBullet4"/>
      <w:lvlText w:val="‐"/>
      <w:lvlJc w:val="left"/>
      <w:pPr>
        <w:tabs>
          <w:tab w:val="num" w:pos="1701"/>
        </w:tabs>
        <w:ind w:left="1701" w:hanging="425"/>
      </w:pPr>
      <w:rPr>
        <w:rFonts w:asciiTheme="minorHAnsi" w:hAnsiTheme="minorHAnsi" w:cs="Times New Roman" w:hint="default"/>
        <w:caps w:val="0"/>
        <w:strike w:val="0"/>
        <w:dstrike w:val="0"/>
        <w:vanish w:val="0"/>
        <w:color w:val="auto"/>
        <w:sz w:val="22"/>
        <w:u w:val="none"/>
        <w:vertAlign w:val="baseline"/>
      </w:rPr>
    </w:lvl>
    <w:lvl w:ilvl="4">
      <w:start w:val="1"/>
      <w:numFmt w:val="bullet"/>
      <w:pStyle w:val="ListBullet5"/>
      <w:lvlText w:val=""/>
      <w:lvlJc w:val="left"/>
      <w:pPr>
        <w:tabs>
          <w:tab w:val="num" w:pos="2126"/>
        </w:tabs>
        <w:ind w:left="2126" w:hanging="425"/>
      </w:pPr>
      <w:rPr>
        <w:rFonts w:ascii="Symbol" w:hAnsi="Symbol" w:hint="default"/>
        <w:color w:val="auto"/>
        <w:sz w:val="20"/>
      </w:rPr>
    </w:lvl>
    <w:lvl w:ilvl="5">
      <w:start w:val="1"/>
      <w:numFmt w:val="bullet"/>
      <w:pStyle w:val="ListBullet6"/>
      <w:lvlText w:val="‐"/>
      <w:lvlJc w:val="left"/>
      <w:pPr>
        <w:tabs>
          <w:tab w:val="num" w:pos="2552"/>
        </w:tabs>
        <w:ind w:left="2552" w:hanging="426"/>
      </w:pPr>
      <w:rPr>
        <w:rFonts w:ascii="Trebuchet MS" w:hAnsi="Trebuchet MS" w:cs="Times New Roman" w:hint="default"/>
        <w:caps w:val="0"/>
        <w:strike w:val="0"/>
        <w:dstrike w:val="0"/>
        <w:vanish w:val="0"/>
        <w:color w:val="auto"/>
        <w:sz w:val="22"/>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1" w15:restartNumberingAfterBreak="0">
    <w:nsid w:val="35873C76"/>
    <w:multiLevelType w:val="hybridMultilevel"/>
    <w:tmpl w:val="08342296"/>
    <w:lvl w:ilvl="0" w:tplc="B01497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784952"/>
    <w:multiLevelType w:val="hybridMultilevel"/>
    <w:tmpl w:val="34B0BC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071FAE"/>
    <w:multiLevelType w:val="multilevel"/>
    <w:tmpl w:val="D1B254FE"/>
    <w:styleLink w:val="ListNumberedHeadings"/>
    <w:lvl w:ilvl="0">
      <w:start w:val="1"/>
      <w:numFmt w:val="decimal"/>
      <w:pStyle w:val="NbrHeading1"/>
      <w:lvlText w:val="%1"/>
      <w:lvlJc w:val="left"/>
      <w:pPr>
        <w:tabs>
          <w:tab w:val="num" w:pos="567"/>
        </w:tabs>
        <w:ind w:left="567" w:hanging="567"/>
      </w:pPr>
      <w:rPr>
        <w:rFonts w:asciiTheme="majorHAnsi" w:hAnsiTheme="majorHAnsi" w:hint="default"/>
        <w:color w:val="auto"/>
        <w:sz w:val="32"/>
      </w:rPr>
    </w:lvl>
    <w:lvl w:ilvl="1">
      <w:start w:val="1"/>
      <w:numFmt w:val="decimal"/>
      <w:pStyle w:val="NbrHeading2"/>
      <w:lvlText w:val="%1.%2"/>
      <w:lvlJc w:val="left"/>
      <w:pPr>
        <w:tabs>
          <w:tab w:val="num" w:pos="1134"/>
        </w:tabs>
        <w:ind w:left="1134" w:hanging="567"/>
      </w:pPr>
      <w:rPr>
        <w:rFonts w:asciiTheme="majorHAnsi" w:hAnsiTheme="majorHAnsi" w:hint="default"/>
        <w:color w:val="auto"/>
        <w:sz w:val="28"/>
      </w:rPr>
    </w:lvl>
    <w:lvl w:ilvl="2">
      <w:start w:val="1"/>
      <w:numFmt w:val="decimal"/>
      <w:pStyle w:val="NbrHeading3"/>
      <w:lvlText w:val="%1.%2.%3"/>
      <w:lvlJc w:val="left"/>
      <w:pPr>
        <w:tabs>
          <w:tab w:val="num" w:pos="1843"/>
        </w:tabs>
        <w:ind w:left="1843" w:hanging="709"/>
      </w:pPr>
      <w:rPr>
        <w:rFonts w:asciiTheme="majorHAnsi" w:hAnsiTheme="majorHAnsi" w:hint="default"/>
        <w:b/>
        <w:color w:val="auto"/>
        <w:sz w:val="24"/>
      </w:rPr>
    </w:lvl>
    <w:lvl w:ilvl="3">
      <w:start w:val="1"/>
      <w:numFmt w:val="none"/>
      <w:lvlText w:val=""/>
      <w:lvlJc w:val="left"/>
      <w:pPr>
        <w:tabs>
          <w:tab w:val="num" w:pos="0"/>
        </w:tabs>
        <w:ind w:left="0" w:firstLine="0"/>
      </w:pPr>
      <w:rPr>
        <w:rFonts w:asciiTheme="majorHAnsi" w:hAnsiTheme="majorHAnsi" w:hint="default"/>
        <w:color w:val="004B8D" w:themeColor="accent1"/>
        <w:sz w:val="22"/>
      </w:rPr>
    </w:lvl>
    <w:lvl w:ilvl="4">
      <w:start w:val="1"/>
      <w:numFmt w:val="none"/>
      <w:lvlText w:val=""/>
      <w:lvlJc w:val="left"/>
      <w:pPr>
        <w:tabs>
          <w:tab w:val="num" w:pos="0"/>
        </w:tabs>
        <w:ind w:left="0" w:firstLine="0"/>
      </w:pPr>
      <w:rPr>
        <w:rFonts w:asciiTheme="majorHAnsi" w:hAnsiTheme="majorHAnsi" w:hint="default"/>
        <w:color w:val="004B8D" w:themeColor="accent1"/>
        <w:sz w:val="22"/>
        <w:u w:val="none"/>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4" w15:restartNumberingAfterBreak="0">
    <w:nsid w:val="4AA2725C"/>
    <w:multiLevelType w:val="hybridMultilevel"/>
    <w:tmpl w:val="93361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267B67"/>
    <w:multiLevelType w:val="multilevel"/>
    <w:tmpl w:val="C7CA0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ListAlpha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2247210"/>
    <w:multiLevelType w:val="hybridMultilevel"/>
    <w:tmpl w:val="42B0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9A31DB7"/>
    <w:multiLevelType w:val="hybridMultilevel"/>
    <w:tmpl w:val="4880E51E"/>
    <w:lvl w:ilvl="0" w:tplc="5CB28B6E">
      <w:start w:val="1"/>
      <w:numFmt w:val="bullet"/>
      <w:lvlText w:val=""/>
      <w:lvlJc w:val="left"/>
      <w:pPr>
        <w:ind w:left="720" w:hanging="360"/>
      </w:pPr>
      <w:rPr>
        <w:rFonts w:ascii="Symbol" w:hAnsi="Symbol" w:hint="default"/>
      </w:rPr>
    </w:lvl>
    <w:lvl w:ilvl="1" w:tplc="66E272A2">
      <w:start w:val="1"/>
      <w:numFmt w:val="bullet"/>
      <w:lvlText w:val="o"/>
      <w:lvlJc w:val="left"/>
      <w:pPr>
        <w:ind w:left="1440" w:hanging="360"/>
      </w:pPr>
      <w:rPr>
        <w:rFonts w:ascii="Courier New" w:hAnsi="Courier New" w:hint="default"/>
      </w:rPr>
    </w:lvl>
    <w:lvl w:ilvl="2" w:tplc="3742366A">
      <w:start w:val="1"/>
      <w:numFmt w:val="bullet"/>
      <w:lvlText w:val=""/>
      <w:lvlJc w:val="left"/>
      <w:pPr>
        <w:ind w:left="2160" w:hanging="360"/>
      </w:pPr>
      <w:rPr>
        <w:rFonts w:ascii="Wingdings" w:hAnsi="Wingdings" w:hint="default"/>
      </w:rPr>
    </w:lvl>
    <w:lvl w:ilvl="3" w:tplc="EEC45A22">
      <w:start w:val="1"/>
      <w:numFmt w:val="bullet"/>
      <w:lvlText w:val=""/>
      <w:lvlJc w:val="left"/>
      <w:pPr>
        <w:ind w:left="2880" w:hanging="360"/>
      </w:pPr>
      <w:rPr>
        <w:rFonts w:ascii="Symbol" w:hAnsi="Symbol" w:hint="default"/>
      </w:rPr>
    </w:lvl>
    <w:lvl w:ilvl="4" w:tplc="27985D3E">
      <w:start w:val="1"/>
      <w:numFmt w:val="bullet"/>
      <w:lvlText w:val="o"/>
      <w:lvlJc w:val="left"/>
      <w:pPr>
        <w:ind w:left="3600" w:hanging="360"/>
      </w:pPr>
      <w:rPr>
        <w:rFonts w:ascii="Courier New" w:hAnsi="Courier New" w:hint="default"/>
      </w:rPr>
    </w:lvl>
    <w:lvl w:ilvl="5" w:tplc="9168EA7A">
      <w:start w:val="1"/>
      <w:numFmt w:val="bullet"/>
      <w:lvlText w:val=""/>
      <w:lvlJc w:val="left"/>
      <w:pPr>
        <w:ind w:left="4320" w:hanging="360"/>
      </w:pPr>
      <w:rPr>
        <w:rFonts w:ascii="Wingdings" w:hAnsi="Wingdings" w:hint="default"/>
      </w:rPr>
    </w:lvl>
    <w:lvl w:ilvl="6" w:tplc="D5C43736">
      <w:start w:val="1"/>
      <w:numFmt w:val="bullet"/>
      <w:lvlText w:val=""/>
      <w:lvlJc w:val="left"/>
      <w:pPr>
        <w:ind w:left="5040" w:hanging="360"/>
      </w:pPr>
      <w:rPr>
        <w:rFonts w:ascii="Symbol" w:hAnsi="Symbol" w:hint="default"/>
      </w:rPr>
    </w:lvl>
    <w:lvl w:ilvl="7" w:tplc="7910C71C">
      <w:start w:val="1"/>
      <w:numFmt w:val="bullet"/>
      <w:lvlText w:val="o"/>
      <w:lvlJc w:val="left"/>
      <w:pPr>
        <w:ind w:left="5760" w:hanging="360"/>
      </w:pPr>
      <w:rPr>
        <w:rFonts w:ascii="Courier New" w:hAnsi="Courier New" w:hint="default"/>
      </w:rPr>
    </w:lvl>
    <w:lvl w:ilvl="8" w:tplc="0E285B0A">
      <w:start w:val="1"/>
      <w:numFmt w:val="bullet"/>
      <w:lvlText w:val=""/>
      <w:lvlJc w:val="left"/>
      <w:pPr>
        <w:ind w:left="6480" w:hanging="360"/>
      </w:pPr>
      <w:rPr>
        <w:rFonts w:ascii="Wingdings" w:hAnsi="Wingdings" w:hint="default"/>
      </w:rPr>
    </w:lvl>
  </w:abstractNum>
  <w:abstractNum w:abstractNumId="18" w15:restartNumberingAfterBreak="0">
    <w:nsid w:val="5C7703CF"/>
    <w:multiLevelType w:val="hybridMultilevel"/>
    <w:tmpl w:val="9EF24D7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246874"/>
    <w:multiLevelType w:val="hybridMultilevel"/>
    <w:tmpl w:val="C6982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62AA6ACE"/>
    <w:multiLevelType w:val="hybridMultilevel"/>
    <w:tmpl w:val="598CA0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5CC2239"/>
    <w:multiLevelType w:val="hybridMultilevel"/>
    <w:tmpl w:val="FFFFFFFF"/>
    <w:lvl w:ilvl="0" w:tplc="485E9932">
      <w:start w:val="1"/>
      <w:numFmt w:val="bullet"/>
      <w:lvlText w:val="·"/>
      <w:lvlJc w:val="left"/>
      <w:pPr>
        <w:ind w:left="720" w:hanging="360"/>
      </w:pPr>
      <w:rPr>
        <w:rFonts w:ascii="Symbol" w:hAnsi="Symbol" w:hint="default"/>
      </w:rPr>
    </w:lvl>
    <w:lvl w:ilvl="1" w:tplc="82D4886E">
      <w:start w:val="1"/>
      <w:numFmt w:val="bullet"/>
      <w:lvlText w:val="o"/>
      <w:lvlJc w:val="left"/>
      <w:pPr>
        <w:ind w:left="1440" w:hanging="360"/>
      </w:pPr>
      <w:rPr>
        <w:rFonts w:ascii="Courier New" w:hAnsi="Courier New" w:hint="default"/>
      </w:rPr>
    </w:lvl>
    <w:lvl w:ilvl="2" w:tplc="786EA81A">
      <w:start w:val="1"/>
      <w:numFmt w:val="bullet"/>
      <w:lvlText w:val=""/>
      <w:lvlJc w:val="left"/>
      <w:pPr>
        <w:ind w:left="2160" w:hanging="360"/>
      </w:pPr>
      <w:rPr>
        <w:rFonts w:ascii="Wingdings" w:hAnsi="Wingdings" w:hint="default"/>
      </w:rPr>
    </w:lvl>
    <w:lvl w:ilvl="3" w:tplc="9C5C2576">
      <w:start w:val="1"/>
      <w:numFmt w:val="bullet"/>
      <w:lvlText w:val=""/>
      <w:lvlJc w:val="left"/>
      <w:pPr>
        <w:ind w:left="2880" w:hanging="360"/>
      </w:pPr>
      <w:rPr>
        <w:rFonts w:ascii="Symbol" w:hAnsi="Symbol" w:hint="default"/>
      </w:rPr>
    </w:lvl>
    <w:lvl w:ilvl="4" w:tplc="658E8900">
      <w:start w:val="1"/>
      <w:numFmt w:val="bullet"/>
      <w:lvlText w:val="o"/>
      <w:lvlJc w:val="left"/>
      <w:pPr>
        <w:ind w:left="3600" w:hanging="360"/>
      </w:pPr>
      <w:rPr>
        <w:rFonts w:ascii="Courier New" w:hAnsi="Courier New" w:hint="default"/>
      </w:rPr>
    </w:lvl>
    <w:lvl w:ilvl="5" w:tplc="4F24AB7E">
      <w:start w:val="1"/>
      <w:numFmt w:val="bullet"/>
      <w:lvlText w:val=""/>
      <w:lvlJc w:val="left"/>
      <w:pPr>
        <w:ind w:left="4320" w:hanging="360"/>
      </w:pPr>
      <w:rPr>
        <w:rFonts w:ascii="Wingdings" w:hAnsi="Wingdings" w:hint="default"/>
      </w:rPr>
    </w:lvl>
    <w:lvl w:ilvl="6" w:tplc="B228427A">
      <w:start w:val="1"/>
      <w:numFmt w:val="bullet"/>
      <w:lvlText w:val=""/>
      <w:lvlJc w:val="left"/>
      <w:pPr>
        <w:ind w:left="5040" w:hanging="360"/>
      </w:pPr>
      <w:rPr>
        <w:rFonts w:ascii="Symbol" w:hAnsi="Symbol" w:hint="default"/>
      </w:rPr>
    </w:lvl>
    <w:lvl w:ilvl="7" w:tplc="A184C554">
      <w:start w:val="1"/>
      <w:numFmt w:val="bullet"/>
      <w:lvlText w:val="o"/>
      <w:lvlJc w:val="left"/>
      <w:pPr>
        <w:ind w:left="5760" w:hanging="360"/>
      </w:pPr>
      <w:rPr>
        <w:rFonts w:ascii="Courier New" w:hAnsi="Courier New" w:hint="default"/>
      </w:rPr>
    </w:lvl>
    <w:lvl w:ilvl="8" w:tplc="C3C4E17A">
      <w:start w:val="1"/>
      <w:numFmt w:val="bullet"/>
      <w:lvlText w:val=""/>
      <w:lvlJc w:val="left"/>
      <w:pPr>
        <w:ind w:left="6480" w:hanging="360"/>
      </w:pPr>
      <w:rPr>
        <w:rFonts w:ascii="Wingdings" w:hAnsi="Wingdings" w:hint="default"/>
      </w:rPr>
    </w:lvl>
  </w:abstractNum>
  <w:abstractNum w:abstractNumId="23" w15:restartNumberingAfterBreak="0">
    <w:nsid w:val="7139706E"/>
    <w:multiLevelType w:val="multilevel"/>
    <w:tmpl w:val="11C64328"/>
    <w:numStyleLink w:val="ListParagraph"/>
  </w:abstractNum>
  <w:abstractNum w:abstractNumId="24" w15:restartNumberingAfterBreak="0">
    <w:nsid w:val="7C035A18"/>
    <w:multiLevelType w:val="hybridMultilevel"/>
    <w:tmpl w:val="3A7860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9"/>
  </w:num>
  <w:num w:numId="3">
    <w:abstractNumId w:val="0"/>
  </w:num>
  <w:num w:numId="4">
    <w:abstractNumId w:val="1"/>
  </w:num>
  <w:num w:numId="5">
    <w:abstractNumId w:val="1"/>
  </w:num>
  <w:num w:numId="6">
    <w:abstractNumId w:val="15"/>
  </w:num>
  <w:num w:numId="7">
    <w:abstractNumId w:val="9"/>
  </w:num>
  <w:num w:numId="8">
    <w:abstractNumId w:val="23"/>
  </w:num>
  <w:num w:numId="9">
    <w:abstractNumId w:val="10"/>
  </w:num>
  <w:num w:numId="10">
    <w:abstractNumId w:val="13"/>
  </w:num>
  <w:num w:numId="11">
    <w:abstractNumId w:val="3"/>
  </w:num>
  <w:num w:numId="12">
    <w:abstractNumId w:val="20"/>
  </w:num>
  <w:num w:numId="13">
    <w:abstractNumId w:val="8"/>
  </w:num>
  <w:num w:numId="14">
    <w:abstractNumId w:val="5"/>
  </w:num>
  <w:num w:numId="15">
    <w:abstractNumId w:val="2"/>
  </w:num>
  <w:num w:numId="16">
    <w:abstractNumId w:val="7"/>
  </w:num>
  <w:num w:numId="17">
    <w:abstractNumId w:val="22"/>
  </w:num>
  <w:num w:numId="18">
    <w:abstractNumId w:val="21"/>
  </w:num>
  <w:num w:numId="19">
    <w:abstractNumId w:val="18"/>
  </w:num>
  <w:num w:numId="20">
    <w:abstractNumId w:val="16"/>
  </w:num>
  <w:num w:numId="21">
    <w:abstractNumId w:val="17"/>
  </w:num>
  <w:num w:numId="22">
    <w:abstractNumId w:val="24"/>
  </w:num>
  <w:num w:numId="23">
    <w:abstractNumId w:val="6"/>
  </w:num>
  <w:num w:numId="24">
    <w:abstractNumId w:val="19"/>
  </w:num>
  <w:num w:numId="25">
    <w:abstractNumId w:val="14"/>
  </w:num>
  <w:num w:numId="26">
    <w:abstractNumId w:val="12"/>
  </w:num>
  <w:num w:numId="27">
    <w:abstractNumId w:val="1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ED"/>
    <w:rsid w:val="000002EB"/>
    <w:rsid w:val="00001931"/>
    <w:rsid w:val="00001AA1"/>
    <w:rsid w:val="00006100"/>
    <w:rsid w:val="00013C81"/>
    <w:rsid w:val="00013E12"/>
    <w:rsid w:val="000152EB"/>
    <w:rsid w:val="00023253"/>
    <w:rsid w:val="000254BB"/>
    <w:rsid w:val="000353FD"/>
    <w:rsid w:val="000358CA"/>
    <w:rsid w:val="00037166"/>
    <w:rsid w:val="0003751F"/>
    <w:rsid w:val="00037636"/>
    <w:rsid w:val="000427B8"/>
    <w:rsid w:val="00044D07"/>
    <w:rsid w:val="00044E1D"/>
    <w:rsid w:val="00054793"/>
    <w:rsid w:val="0005496B"/>
    <w:rsid w:val="00057F1B"/>
    <w:rsid w:val="000603AB"/>
    <w:rsid w:val="00065EA6"/>
    <w:rsid w:val="00070ED1"/>
    <w:rsid w:val="00071C7D"/>
    <w:rsid w:val="00075BD8"/>
    <w:rsid w:val="00076F97"/>
    <w:rsid w:val="00077B3C"/>
    <w:rsid w:val="00080773"/>
    <w:rsid w:val="0008195F"/>
    <w:rsid w:val="00081B64"/>
    <w:rsid w:val="00083B22"/>
    <w:rsid w:val="000870BB"/>
    <w:rsid w:val="00087D93"/>
    <w:rsid w:val="000952C0"/>
    <w:rsid w:val="00097214"/>
    <w:rsid w:val="000A54D7"/>
    <w:rsid w:val="000A5904"/>
    <w:rsid w:val="000A5B34"/>
    <w:rsid w:val="000A64EB"/>
    <w:rsid w:val="000B0779"/>
    <w:rsid w:val="000B1EC2"/>
    <w:rsid w:val="000B2062"/>
    <w:rsid w:val="000B233F"/>
    <w:rsid w:val="000B3EBE"/>
    <w:rsid w:val="000B6FA1"/>
    <w:rsid w:val="000B7E4E"/>
    <w:rsid w:val="000C0C22"/>
    <w:rsid w:val="000C1CF7"/>
    <w:rsid w:val="000C1D1E"/>
    <w:rsid w:val="000C3866"/>
    <w:rsid w:val="000C5559"/>
    <w:rsid w:val="000C5684"/>
    <w:rsid w:val="000C77C0"/>
    <w:rsid w:val="000C7876"/>
    <w:rsid w:val="000C7EB3"/>
    <w:rsid w:val="000D08ED"/>
    <w:rsid w:val="000E7C35"/>
    <w:rsid w:val="000F0294"/>
    <w:rsid w:val="000F1662"/>
    <w:rsid w:val="000F1960"/>
    <w:rsid w:val="000F3444"/>
    <w:rsid w:val="000F4028"/>
    <w:rsid w:val="000F4A35"/>
    <w:rsid w:val="000F5FE6"/>
    <w:rsid w:val="000F6804"/>
    <w:rsid w:val="000F6E26"/>
    <w:rsid w:val="001063C6"/>
    <w:rsid w:val="00111726"/>
    <w:rsid w:val="00111BA9"/>
    <w:rsid w:val="00112827"/>
    <w:rsid w:val="001149EC"/>
    <w:rsid w:val="00116F9C"/>
    <w:rsid w:val="00126208"/>
    <w:rsid w:val="0012735D"/>
    <w:rsid w:val="0013218E"/>
    <w:rsid w:val="00133EC4"/>
    <w:rsid w:val="0013632D"/>
    <w:rsid w:val="00136F2F"/>
    <w:rsid w:val="00145CCD"/>
    <w:rsid w:val="001472E7"/>
    <w:rsid w:val="001505D8"/>
    <w:rsid w:val="00152162"/>
    <w:rsid w:val="00152188"/>
    <w:rsid w:val="00154790"/>
    <w:rsid w:val="00156423"/>
    <w:rsid w:val="001572B2"/>
    <w:rsid w:val="001574E2"/>
    <w:rsid w:val="001600E5"/>
    <w:rsid w:val="00163AA0"/>
    <w:rsid w:val="001671EC"/>
    <w:rsid w:val="00171D5A"/>
    <w:rsid w:val="0017315A"/>
    <w:rsid w:val="00174CD4"/>
    <w:rsid w:val="00175390"/>
    <w:rsid w:val="00176594"/>
    <w:rsid w:val="00180FD2"/>
    <w:rsid w:val="001829A7"/>
    <w:rsid w:val="00183570"/>
    <w:rsid w:val="00184EAB"/>
    <w:rsid w:val="00185154"/>
    <w:rsid w:val="00186DF3"/>
    <w:rsid w:val="0019114D"/>
    <w:rsid w:val="00193AB6"/>
    <w:rsid w:val="00193AF0"/>
    <w:rsid w:val="001A0048"/>
    <w:rsid w:val="001A46D2"/>
    <w:rsid w:val="001A7F12"/>
    <w:rsid w:val="001B3A1D"/>
    <w:rsid w:val="001B3F63"/>
    <w:rsid w:val="001B7223"/>
    <w:rsid w:val="001B72A4"/>
    <w:rsid w:val="001B7C2D"/>
    <w:rsid w:val="001C3BD6"/>
    <w:rsid w:val="001C42B7"/>
    <w:rsid w:val="001C4DAC"/>
    <w:rsid w:val="001C63AA"/>
    <w:rsid w:val="001C70A0"/>
    <w:rsid w:val="001D2014"/>
    <w:rsid w:val="001D3728"/>
    <w:rsid w:val="001D418D"/>
    <w:rsid w:val="001D46C8"/>
    <w:rsid w:val="001D59C2"/>
    <w:rsid w:val="001E041B"/>
    <w:rsid w:val="001E2E13"/>
    <w:rsid w:val="001E45D8"/>
    <w:rsid w:val="001E70E1"/>
    <w:rsid w:val="001E79C0"/>
    <w:rsid w:val="001F16CA"/>
    <w:rsid w:val="001F2DBD"/>
    <w:rsid w:val="001F38C3"/>
    <w:rsid w:val="001F4B1C"/>
    <w:rsid w:val="001F74B5"/>
    <w:rsid w:val="00202F61"/>
    <w:rsid w:val="002078C1"/>
    <w:rsid w:val="002106C4"/>
    <w:rsid w:val="00210DEF"/>
    <w:rsid w:val="0021225C"/>
    <w:rsid w:val="00212F1D"/>
    <w:rsid w:val="00215311"/>
    <w:rsid w:val="00217DE1"/>
    <w:rsid w:val="0022201C"/>
    <w:rsid w:val="00222215"/>
    <w:rsid w:val="00223622"/>
    <w:rsid w:val="00225F73"/>
    <w:rsid w:val="0022792D"/>
    <w:rsid w:val="00230385"/>
    <w:rsid w:val="0023100E"/>
    <w:rsid w:val="00233A8B"/>
    <w:rsid w:val="002362F7"/>
    <w:rsid w:val="00236862"/>
    <w:rsid w:val="00244D3A"/>
    <w:rsid w:val="0025119D"/>
    <w:rsid w:val="00252201"/>
    <w:rsid w:val="00252D24"/>
    <w:rsid w:val="00253C36"/>
    <w:rsid w:val="00254DD8"/>
    <w:rsid w:val="00261BB4"/>
    <w:rsid w:val="002677CF"/>
    <w:rsid w:val="00271A19"/>
    <w:rsid w:val="0027559A"/>
    <w:rsid w:val="00275D46"/>
    <w:rsid w:val="002765C5"/>
    <w:rsid w:val="002800A0"/>
    <w:rsid w:val="00282067"/>
    <w:rsid w:val="00284A05"/>
    <w:rsid w:val="002867A5"/>
    <w:rsid w:val="00287D40"/>
    <w:rsid w:val="002905A0"/>
    <w:rsid w:val="002906C0"/>
    <w:rsid w:val="002934B2"/>
    <w:rsid w:val="002A0AEB"/>
    <w:rsid w:val="002A55FB"/>
    <w:rsid w:val="002A590E"/>
    <w:rsid w:val="002A753E"/>
    <w:rsid w:val="002B4003"/>
    <w:rsid w:val="002B4658"/>
    <w:rsid w:val="002B50ED"/>
    <w:rsid w:val="002B64CD"/>
    <w:rsid w:val="002C0323"/>
    <w:rsid w:val="002C130D"/>
    <w:rsid w:val="002C266F"/>
    <w:rsid w:val="002C46F3"/>
    <w:rsid w:val="002C5B1C"/>
    <w:rsid w:val="002D4254"/>
    <w:rsid w:val="002D4D98"/>
    <w:rsid w:val="002D4E6E"/>
    <w:rsid w:val="002E20E6"/>
    <w:rsid w:val="002E7768"/>
    <w:rsid w:val="002F2F7A"/>
    <w:rsid w:val="002F4862"/>
    <w:rsid w:val="00301893"/>
    <w:rsid w:val="0030334D"/>
    <w:rsid w:val="00305D75"/>
    <w:rsid w:val="00311E3D"/>
    <w:rsid w:val="00311E8A"/>
    <w:rsid w:val="00313AEF"/>
    <w:rsid w:val="0031541C"/>
    <w:rsid w:val="00315475"/>
    <w:rsid w:val="00317FA7"/>
    <w:rsid w:val="00321E9B"/>
    <w:rsid w:val="00323EA3"/>
    <w:rsid w:val="00325604"/>
    <w:rsid w:val="0032714C"/>
    <w:rsid w:val="0033238A"/>
    <w:rsid w:val="003363C9"/>
    <w:rsid w:val="00340D95"/>
    <w:rsid w:val="003411DD"/>
    <w:rsid w:val="00341B11"/>
    <w:rsid w:val="00344E71"/>
    <w:rsid w:val="00345F4F"/>
    <w:rsid w:val="003544F8"/>
    <w:rsid w:val="00355529"/>
    <w:rsid w:val="00360C2A"/>
    <w:rsid w:val="00363220"/>
    <w:rsid w:val="0037126A"/>
    <w:rsid w:val="003712CA"/>
    <w:rsid w:val="0037398C"/>
    <w:rsid w:val="0037618F"/>
    <w:rsid w:val="00377133"/>
    <w:rsid w:val="0038076B"/>
    <w:rsid w:val="003810B4"/>
    <w:rsid w:val="00384B36"/>
    <w:rsid w:val="003853C1"/>
    <w:rsid w:val="00390A31"/>
    <w:rsid w:val="00392D15"/>
    <w:rsid w:val="00394810"/>
    <w:rsid w:val="003953D2"/>
    <w:rsid w:val="003A04C1"/>
    <w:rsid w:val="003A08A5"/>
    <w:rsid w:val="003A7A13"/>
    <w:rsid w:val="003B063D"/>
    <w:rsid w:val="003B0945"/>
    <w:rsid w:val="003B097F"/>
    <w:rsid w:val="003B0D84"/>
    <w:rsid w:val="003B1AD4"/>
    <w:rsid w:val="003B341F"/>
    <w:rsid w:val="003B4251"/>
    <w:rsid w:val="003B4509"/>
    <w:rsid w:val="003B4DCF"/>
    <w:rsid w:val="003B5F9A"/>
    <w:rsid w:val="003C22C1"/>
    <w:rsid w:val="003D2F59"/>
    <w:rsid w:val="003D3B71"/>
    <w:rsid w:val="003D4FAF"/>
    <w:rsid w:val="003D56AF"/>
    <w:rsid w:val="003D7E24"/>
    <w:rsid w:val="003E090C"/>
    <w:rsid w:val="003E1EF3"/>
    <w:rsid w:val="003E269E"/>
    <w:rsid w:val="003E2E43"/>
    <w:rsid w:val="003E3133"/>
    <w:rsid w:val="003E3A21"/>
    <w:rsid w:val="003E3F4D"/>
    <w:rsid w:val="003E5319"/>
    <w:rsid w:val="003E5F25"/>
    <w:rsid w:val="003E742E"/>
    <w:rsid w:val="003F1D9D"/>
    <w:rsid w:val="003F3CEC"/>
    <w:rsid w:val="003F6BD9"/>
    <w:rsid w:val="003F7688"/>
    <w:rsid w:val="00401459"/>
    <w:rsid w:val="00401C0C"/>
    <w:rsid w:val="00402679"/>
    <w:rsid w:val="004028A4"/>
    <w:rsid w:val="004030E4"/>
    <w:rsid w:val="00404615"/>
    <w:rsid w:val="00407776"/>
    <w:rsid w:val="004139BD"/>
    <w:rsid w:val="004142F7"/>
    <w:rsid w:val="0042023D"/>
    <w:rsid w:val="0042056A"/>
    <w:rsid w:val="0042152F"/>
    <w:rsid w:val="00423889"/>
    <w:rsid w:val="004254BC"/>
    <w:rsid w:val="00427353"/>
    <w:rsid w:val="00431066"/>
    <w:rsid w:val="004312BF"/>
    <w:rsid w:val="004314FC"/>
    <w:rsid w:val="0043564D"/>
    <w:rsid w:val="0043628A"/>
    <w:rsid w:val="00436F46"/>
    <w:rsid w:val="00444AE6"/>
    <w:rsid w:val="004478FD"/>
    <w:rsid w:val="00451DB1"/>
    <w:rsid w:val="00452469"/>
    <w:rsid w:val="00454F10"/>
    <w:rsid w:val="00456E60"/>
    <w:rsid w:val="00461CF2"/>
    <w:rsid w:val="0046210B"/>
    <w:rsid w:val="00462826"/>
    <w:rsid w:val="004700B3"/>
    <w:rsid w:val="004718C2"/>
    <w:rsid w:val="0047405C"/>
    <w:rsid w:val="00477220"/>
    <w:rsid w:val="00477335"/>
    <w:rsid w:val="004773A4"/>
    <w:rsid w:val="0048004F"/>
    <w:rsid w:val="00481B48"/>
    <w:rsid w:val="00482572"/>
    <w:rsid w:val="00491C59"/>
    <w:rsid w:val="00496AAB"/>
    <w:rsid w:val="00497C8C"/>
    <w:rsid w:val="004A0966"/>
    <w:rsid w:val="004A119F"/>
    <w:rsid w:val="004A1D65"/>
    <w:rsid w:val="004A1EFA"/>
    <w:rsid w:val="004A4149"/>
    <w:rsid w:val="004A6C01"/>
    <w:rsid w:val="004B00AF"/>
    <w:rsid w:val="004B7DAE"/>
    <w:rsid w:val="004C2BA5"/>
    <w:rsid w:val="004D0373"/>
    <w:rsid w:val="004D282B"/>
    <w:rsid w:val="004E79A4"/>
    <w:rsid w:val="004F15CC"/>
    <w:rsid w:val="004F2012"/>
    <w:rsid w:val="004F2269"/>
    <w:rsid w:val="004F2A3C"/>
    <w:rsid w:val="004F3D6F"/>
    <w:rsid w:val="00501FEB"/>
    <w:rsid w:val="00502C1C"/>
    <w:rsid w:val="00504203"/>
    <w:rsid w:val="0050447F"/>
    <w:rsid w:val="005102BD"/>
    <w:rsid w:val="0051056D"/>
    <w:rsid w:val="0051760B"/>
    <w:rsid w:val="00520F3B"/>
    <w:rsid w:val="00522634"/>
    <w:rsid w:val="00524C1F"/>
    <w:rsid w:val="00524FF3"/>
    <w:rsid w:val="005331C9"/>
    <w:rsid w:val="00536263"/>
    <w:rsid w:val="00536D4F"/>
    <w:rsid w:val="00543A7D"/>
    <w:rsid w:val="005509BD"/>
    <w:rsid w:val="0055219D"/>
    <w:rsid w:val="0055353F"/>
    <w:rsid w:val="00553E8C"/>
    <w:rsid w:val="00554330"/>
    <w:rsid w:val="00557E68"/>
    <w:rsid w:val="005652F9"/>
    <w:rsid w:val="00565FD2"/>
    <w:rsid w:val="0056633F"/>
    <w:rsid w:val="005713E5"/>
    <w:rsid w:val="00577AD0"/>
    <w:rsid w:val="0058629E"/>
    <w:rsid w:val="005937C5"/>
    <w:rsid w:val="00593AF4"/>
    <w:rsid w:val="005943B5"/>
    <w:rsid w:val="00594CFE"/>
    <w:rsid w:val="005A0C45"/>
    <w:rsid w:val="005A0E82"/>
    <w:rsid w:val="005A142E"/>
    <w:rsid w:val="005A1A5C"/>
    <w:rsid w:val="005A3AA8"/>
    <w:rsid w:val="005A435A"/>
    <w:rsid w:val="005A56AD"/>
    <w:rsid w:val="005B0C40"/>
    <w:rsid w:val="005B48D1"/>
    <w:rsid w:val="005B68FE"/>
    <w:rsid w:val="005C0400"/>
    <w:rsid w:val="005C1E2F"/>
    <w:rsid w:val="005C1FF8"/>
    <w:rsid w:val="005C6BD7"/>
    <w:rsid w:val="005D0DEF"/>
    <w:rsid w:val="005D15BB"/>
    <w:rsid w:val="005D20B0"/>
    <w:rsid w:val="005D620B"/>
    <w:rsid w:val="005D7509"/>
    <w:rsid w:val="005D793E"/>
    <w:rsid w:val="005E0B03"/>
    <w:rsid w:val="005E0F39"/>
    <w:rsid w:val="005E16E7"/>
    <w:rsid w:val="005E252B"/>
    <w:rsid w:val="005E259B"/>
    <w:rsid w:val="005E3643"/>
    <w:rsid w:val="005F04B2"/>
    <w:rsid w:val="005F1DD6"/>
    <w:rsid w:val="006025ED"/>
    <w:rsid w:val="00603E96"/>
    <w:rsid w:val="006059A6"/>
    <w:rsid w:val="0061089F"/>
    <w:rsid w:val="006108D1"/>
    <w:rsid w:val="006121B5"/>
    <w:rsid w:val="00613329"/>
    <w:rsid w:val="00621878"/>
    <w:rsid w:val="00622EDB"/>
    <w:rsid w:val="0063107D"/>
    <w:rsid w:val="00633235"/>
    <w:rsid w:val="00645882"/>
    <w:rsid w:val="0065325A"/>
    <w:rsid w:val="00653BA4"/>
    <w:rsid w:val="00655DC9"/>
    <w:rsid w:val="00657548"/>
    <w:rsid w:val="00660DD9"/>
    <w:rsid w:val="0066142A"/>
    <w:rsid w:val="00661D49"/>
    <w:rsid w:val="00663351"/>
    <w:rsid w:val="00663352"/>
    <w:rsid w:val="00663A31"/>
    <w:rsid w:val="00664916"/>
    <w:rsid w:val="0066607F"/>
    <w:rsid w:val="006671D5"/>
    <w:rsid w:val="00674316"/>
    <w:rsid w:val="00674866"/>
    <w:rsid w:val="006804F3"/>
    <w:rsid w:val="00683069"/>
    <w:rsid w:val="00684E74"/>
    <w:rsid w:val="00686551"/>
    <w:rsid w:val="00692E4B"/>
    <w:rsid w:val="00695AA2"/>
    <w:rsid w:val="00697021"/>
    <w:rsid w:val="006A1801"/>
    <w:rsid w:val="006B2063"/>
    <w:rsid w:val="006C0D40"/>
    <w:rsid w:val="006C287D"/>
    <w:rsid w:val="006C32ED"/>
    <w:rsid w:val="006C415A"/>
    <w:rsid w:val="006C46A4"/>
    <w:rsid w:val="006C4D26"/>
    <w:rsid w:val="006D22C5"/>
    <w:rsid w:val="006D37E5"/>
    <w:rsid w:val="006E4CF4"/>
    <w:rsid w:val="006E62FB"/>
    <w:rsid w:val="006E645E"/>
    <w:rsid w:val="006F1C29"/>
    <w:rsid w:val="006F5300"/>
    <w:rsid w:val="006F686F"/>
    <w:rsid w:val="006F73CC"/>
    <w:rsid w:val="00706376"/>
    <w:rsid w:val="0070793F"/>
    <w:rsid w:val="00710B80"/>
    <w:rsid w:val="007120B7"/>
    <w:rsid w:val="007156AF"/>
    <w:rsid w:val="00715FC7"/>
    <w:rsid w:val="00724C20"/>
    <w:rsid w:val="00727B23"/>
    <w:rsid w:val="00727BBF"/>
    <w:rsid w:val="00731E14"/>
    <w:rsid w:val="00733B51"/>
    <w:rsid w:val="00734D0A"/>
    <w:rsid w:val="0074333F"/>
    <w:rsid w:val="00744886"/>
    <w:rsid w:val="0075462A"/>
    <w:rsid w:val="00755032"/>
    <w:rsid w:val="00757A95"/>
    <w:rsid w:val="0076144F"/>
    <w:rsid w:val="00770BF1"/>
    <w:rsid w:val="00772954"/>
    <w:rsid w:val="00772A7F"/>
    <w:rsid w:val="00774BFE"/>
    <w:rsid w:val="00774E76"/>
    <w:rsid w:val="00774E81"/>
    <w:rsid w:val="0077720D"/>
    <w:rsid w:val="007814D7"/>
    <w:rsid w:val="00781E91"/>
    <w:rsid w:val="00791832"/>
    <w:rsid w:val="007923D9"/>
    <w:rsid w:val="007A5346"/>
    <w:rsid w:val="007A660D"/>
    <w:rsid w:val="007B544B"/>
    <w:rsid w:val="007B7D27"/>
    <w:rsid w:val="007C447E"/>
    <w:rsid w:val="007C62D8"/>
    <w:rsid w:val="007C6C56"/>
    <w:rsid w:val="007D0BE9"/>
    <w:rsid w:val="007D12B6"/>
    <w:rsid w:val="007E6BA6"/>
    <w:rsid w:val="007F1DC9"/>
    <w:rsid w:val="007F27A3"/>
    <w:rsid w:val="007F7E0C"/>
    <w:rsid w:val="00804F46"/>
    <w:rsid w:val="00806224"/>
    <w:rsid w:val="00811C31"/>
    <w:rsid w:val="008120FE"/>
    <w:rsid w:val="008131FA"/>
    <w:rsid w:val="008143B7"/>
    <w:rsid w:val="00815570"/>
    <w:rsid w:val="00816FD2"/>
    <w:rsid w:val="00817D6F"/>
    <w:rsid w:val="00822503"/>
    <w:rsid w:val="00826309"/>
    <w:rsid w:val="00827A23"/>
    <w:rsid w:val="00827BBA"/>
    <w:rsid w:val="00831971"/>
    <w:rsid w:val="00834B42"/>
    <w:rsid w:val="0083729D"/>
    <w:rsid w:val="00837F7F"/>
    <w:rsid w:val="0084246F"/>
    <w:rsid w:val="00842EAA"/>
    <w:rsid w:val="00843444"/>
    <w:rsid w:val="00844A7A"/>
    <w:rsid w:val="00845732"/>
    <w:rsid w:val="00852A87"/>
    <w:rsid w:val="008572D9"/>
    <w:rsid w:val="00857A4B"/>
    <w:rsid w:val="008618A2"/>
    <w:rsid w:val="00861E13"/>
    <w:rsid w:val="00861E36"/>
    <w:rsid w:val="00863B90"/>
    <w:rsid w:val="00867AFF"/>
    <w:rsid w:val="008707B7"/>
    <w:rsid w:val="00871BEA"/>
    <w:rsid w:val="008807AD"/>
    <w:rsid w:val="0088551D"/>
    <w:rsid w:val="00892277"/>
    <w:rsid w:val="00892496"/>
    <w:rsid w:val="00892B13"/>
    <w:rsid w:val="00894938"/>
    <w:rsid w:val="00896267"/>
    <w:rsid w:val="008963A4"/>
    <w:rsid w:val="008A0199"/>
    <w:rsid w:val="008A043C"/>
    <w:rsid w:val="008A1244"/>
    <w:rsid w:val="008A38CB"/>
    <w:rsid w:val="008A4E5B"/>
    <w:rsid w:val="008A61BB"/>
    <w:rsid w:val="008A6D4D"/>
    <w:rsid w:val="008A6F22"/>
    <w:rsid w:val="008B000B"/>
    <w:rsid w:val="008B17B1"/>
    <w:rsid w:val="008B4D09"/>
    <w:rsid w:val="008B5698"/>
    <w:rsid w:val="008B5D8F"/>
    <w:rsid w:val="008C0B92"/>
    <w:rsid w:val="008C0C20"/>
    <w:rsid w:val="008C1DFE"/>
    <w:rsid w:val="008C6374"/>
    <w:rsid w:val="008C7279"/>
    <w:rsid w:val="008D1CEB"/>
    <w:rsid w:val="008E4012"/>
    <w:rsid w:val="008E511F"/>
    <w:rsid w:val="008E5525"/>
    <w:rsid w:val="008E7377"/>
    <w:rsid w:val="008F4E0B"/>
    <w:rsid w:val="008F5042"/>
    <w:rsid w:val="008F6AE1"/>
    <w:rsid w:val="008F6EE6"/>
    <w:rsid w:val="00900BBD"/>
    <w:rsid w:val="009024F9"/>
    <w:rsid w:val="00904EB9"/>
    <w:rsid w:val="009071F0"/>
    <w:rsid w:val="00907866"/>
    <w:rsid w:val="00911FEE"/>
    <w:rsid w:val="00914C75"/>
    <w:rsid w:val="00916333"/>
    <w:rsid w:val="009166E5"/>
    <w:rsid w:val="00916A7D"/>
    <w:rsid w:val="00920C20"/>
    <w:rsid w:val="00923424"/>
    <w:rsid w:val="00924EFC"/>
    <w:rsid w:val="00926439"/>
    <w:rsid w:val="00930294"/>
    <w:rsid w:val="00930938"/>
    <w:rsid w:val="0093164A"/>
    <w:rsid w:val="0093274E"/>
    <w:rsid w:val="00936F38"/>
    <w:rsid w:val="009406CD"/>
    <w:rsid w:val="009453E1"/>
    <w:rsid w:val="009518EB"/>
    <w:rsid w:val="00952C88"/>
    <w:rsid w:val="00952D63"/>
    <w:rsid w:val="00953779"/>
    <w:rsid w:val="00956432"/>
    <w:rsid w:val="009571D7"/>
    <w:rsid w:val="00960B15"/>
    <w:rsid w:val="009613BC"/>
    <w:rsid w:val="009673B0"/>
    <w:rsid w:val="00973E76"/>
    <w:rsid w:val="00973F09"/>
    <w:rsid w:val="00975AC5"/>
    <w:rsid w:val="00980E3D"/>
    <w:rsid w:val="00981EDF"/>
    <w:rsid w:val="00982F13"/>
    <w:rsid w:val="009855B2"/>
    <w:rsid w:val="0099073B"/>
    <w:rsid w:val="00991758"/>
    <w:rsid w:val="009922D1"/>
    <w:rsid w:val="009977BC"/>
    <w:rsid w:val="009A199C"/>
    <w:rsid w:val="009A1E0A"/>
    <w:rsid w:val="009A4BB4"/>
    <w:rsid w:val="009B3F9D"/>
    <w:rsid w:val="009B4210"/>
    <w:rsid w:val="009B4466"/>
    <w:rsid w:val="009C35C4"/>
    <w:rsid w:val="009C6342"/>
    <w:rsid w:val="009D2E84"/>
    <w:rsid w:val="009D31A7"/>
    <w:rsid w:val="009D4B15"/>
    <w:rsid w:val="009E060B"/>
    <w:rsid w:val="009E2D42"/>
    <w:rsid w:val="009E3BCF"/>
    <w:rsid w:val="009E59AD"/>
    <w:rsid w:val="009F6CE7"/>
    <w:rsid w:val="00A01203"/>
    <w:rsid w:val="00A04DE2"/>
    <w:rsid w:val="00A059EB"/>
    <w:rsid w:val="00A07960"/>
    <w:rsid w:val="00A10D3E"/>
    <w:rsid w:val="00A13D83"/>
    <w:rsid w:val="00A14CEE"/>
    <w:rsid w:val="00A155AE"/>
    <w:rsid w:val="00A155FE"/>
    <w:rsid w:val="00A168B6"/>
    <w:rsid w:val="00A21BC7"/>
    <w:rsid w:val="00A233C3"/>
    <w:rsid w:val="00A24E33"/>
    <w:rsid w:val="00A3265E"/>
    <w:rsid w:val="00A332D6"/>
    <w:rsid w:val="00A41250"/>
    <w:rsid w:val="00A41D4E"/>
    <w:rsid w:val="00A5149B"/>
    <w:rsid w:val="00A52A8F"/>
    <w:rsid w:val="00A53C0C"/>
    <w:rsid w:val="00A5595F"/>
    <w:rsid w:val="00A56595"/>
    <w:rsid w:val="00A63699"/>
    <w:rsid w:val="00A63844"/>
    <w:rsid w:val="00A640FF"/>
    <w:rsid w:val="00A64CA9"/>
    <w:rsid w:val="00A83B38"/>
    <w:rsid w:val="00A855C4"/>
    <w:rsid w:val="00A8574C"/>
    <w:rsid w:val="00A865BC"/>
    <w:rsid w:val="00A879ED"/>
    <w:rsid w:val="00A94898"/>
    <w:rsid w:val="00A950D0"/>
    <w:rsid w:val="00A959B0"/>
    <w:rsid w:val="00A9654D"/>
    <w:rsid w:val="00A96C37"/>
    <w:rsid w:val="00AA59C3"/>
    <w:rsid w:val="00AA6010"/>
    <w:rsid w:val="00AC2038"/>
    <w:rsid w:val="00AC2BAC"/>
    <w:rsid w:val="00AC7ECC"/>
    <w:rsid w:val="00AD1670"/>
    <w:rsid w:val="00AD3D52"/>
    <w:rsid w:val="00AD457C"/>
    <w:rsid w:val="00AD6EC2"/>
    <w:rsid w:val="00AD7F26"/>
    <w:rsid w:val="00AE1F07"/>
    <w:rsid w:val="00AE215F"/>
    <w:rsid w:val="00AE2BDE"/>
    <w:rsid w:val="00AE40AA"/>
    <w:rsid w:val="00AE4C26"/>
    <w:rsid w:val="00AF2077"/>
    <w:rsid w:val="00AF2204"/>
    <w:rsid w:val="00AF2315"/>
    <w:rsid w:val="00AF3432"/>
    <w:rsid w:val="00AF490F"/>
    <w:rsid w:val="00B012F3"/>
    <w:rsid w:val="00B03D45"/>
    <w:rsid w:val="00B05D48"/>
    <w:rsid w:val="00B07F15"/>
    <w:rsid w:val="00B10F98"/>
    <w:rsid w:val="00B11EEA"/>
    <w:rsid w:val="00B1273F"/>
    <w:rsid w:val="00B133B7"/>
    <w:rsid w:val="00B1373A"/>
    <w:rsid w:val="00B16413"/>
    <w:rsid w:val="00B22829"/>
    <w:rsid w:val="00B26C25"/>
    <w:rsid w:val="00B26C30"/>
    <w:rsid w:val="00B277A8"/>
    <w:rsid w:val="00B31CEF"/>
    <w:rsid w:val="00B36AD3"/>
    <w:rsid w:val="00B40C19"/>
    <w:rsid w:val="00B42016"/>
    <w:rsid w:val="00B43265"/>
    <w:rsid w:val="00B45073"/>
    <w:rsid w:val="00B455B4"/>
    <w:rsid w:val="00B53493"/>
    <w:rsid w:val="00B54F0F"/>
    <w:rsid w:val="00B5508B"/>
    <w:rsid w:val="00B55D18"/>
    <w:rsid w:val="00B56680"/>
    <w:rsid w:val="00B56CC8"/>
    <w:rsid w:val="00B64F6A"/>
    <w:rsid w:val="00B65281"/>
    <w:rsid w:val="00B668FB"/>
    <w:rsid w:val="00B70799"/>
    <w:rsid w:val="00B70DC1"/>
    <w:rsid w:val="00B76B8E"/>
    <w:rsid w:val="00B80733"/>
    <w:rsid w:val="00B80E35"/>
    <w:rsid w:val="00B810D2"/>
    <w:rsid w:val="00B8347A"/>
    <w:rsid w:val="00B83DE6"/>
    <w:rsid w:val="00B85E6C"/>
    <w:rsid w:val="00B94003"/>
    <w:rsid w:val="00B96083"/>
    <w:rsid w:val="00B96BAD"/>
    <w:rsid w:val="00BA1E8F"/>
    <w:rsid w:val="00BA45AE"/>
    <w:rsid w:val="00BA4F4A"/>
    <w:rsid w:val="00BA66AD"/>
    <w:rsid w:val="00BA6AEF"/>
    <w:rsid w:val="00BB49AA"/>
    <w:rsid w:val="00BB5A21"/>
    <w:rsid w:val="00BB5CA1"/>
    <w:rsid w:val="00BC2DD3"/>
    <w:rsid w:val="00BC67B1"/>
    <w:rsid w:val="00BD2536"/>
    <w:rsid w:val="00BD3CA2"/>
    <w:rsid w:val="00BD7CF3"/>
    <w:rsid w:val="00BE16D4"/>
    <w:rsid w:val="00BE3D0D"/>
    <w:rsid w:val="00BE6CFA"/>
    <w:rsid w:val="00BE7D75"/>
    <w:rsid w:val="00BF0B7B"/>
    <w:rsid w:val="00BF14D6"/>
    <w:rsid w:val="00BF2C53"/>
    <w:rsid w:val="00BF4884"/>
    <w:rsid w:val="00BF69A3"/>
    <w:rsid w:val="00C000C3"/>
    <w:rsid w:val="00C02E60"/>
    <w:rsid w:val="00C05555"/>
    <w:rsid w:val="00C10095"/>
    <w:rsid w:val="00C113B9"/>
    <w:rsid w:val="00C11FC2"/>
    <w:rsid w:val="00C15398"/>
    <w:rsid w:val="00C154D2"/>
    <w:rsid w:val="00C164DD"/>
    <w:rsid w:val="00C17EF5"/>
    <w:rsid w:val="00C23019"/>
    <w:rsid w:val="00C240FD"/>
    <w:rsid w:val="00C24374"/>
    <w:rsid w:val="00C3004E"/>
    <w:rsid w:val="00C301CC"/>
    <w:rsid w:val="00C302EF"/>
    <w:rsid w:val="00C353E2"/>
    <w:rsid w:val="00C35C55"/>
    <w:rsid w:val="00C35F09"/>
    <w:rsid w:val="00C45503"/>
    <w:rsid w:val="00C47950"/>
    <w:rsid w:val="00C5101F"/>
    <w:rsid w:val="00C528A5"/>
    <w:rsid w:val="00C560CB"/>
    <w:rsid w:val="00C67759"/>
    <w:rsid w:val="00C70AC8"/>
    <w:rsid w:val="00C723B7"/>
    <w:rsid w:val="00C7464D"/>
    <w:rsid w:val="00C74C53"/>
    <w:rsid w:val="00C75C2D"/>
    <w:rsid w:val="00C874A2"/>
    <w:rsid w:val="00C90C42"/>
    <w:rsid w:val="00C92A6F"/>
    <w:rsid w:val="00C97431"/>
    <w:rsid w:val="00CA2A65"/>
    <w:rsid w:val="00CB2E84"/>
    <w:rsid w:val="00CB6166"/>
    <w:rsid w:val="00CB7283"/>
    <w:rsid w:val="00CB76DF"/>
    <w:rsid w:val="00CC06A7"/>
    <w:rsid w:val="00CC49A6"/>
    <w:rsid w:val="00CC4B83"/>
    <w:rsid w:val="00CC565A"/>
    <w:rsid w:val="00CD0B09"/>
    <w:rsid w:val="00CD2433"/>
    <w:rsid w:val="00CD2706"/>
    <w:rsid w:val="00CD3DFD"/>
    <w:rsid w:val="00CF402A"/>
    <w:rsid w:val="00CF4DB6"/>
    <w:rsid w:val="00CF584F"/>
    <w:rsid w:val="00CF590E"/>
    <w:rsid w:val="00D02B10"/>
    <w:rsid w:val="00D13112"/>
    <w:rsid w:val="00D15C47"/>
    <w:rsid w:val="00D207B1"/>
    <w:rsid w:val="00D20ACE"/>
    <w:rsid w:val="00D223D8"/>
    <w:rsid w:val="00D2386D"/>
    <w:rsid w:val="00D23D00"/>
    <w:rsid w:val="00D241D3"/>
    <w:rsid w:val="00D24EC3"/>
    <w:rsid w:val="00D253E1"/>
    <w:rsid w:val="00D25C0F"/>
    <w:rsid w:val="00D27614"/>
    <w:rsid w:val="00D27FA8"/>
    <w:rsid w:val="00D365D3"/>
    <w:rsid w:val="00D37E87"/>
    <w:rsid w:val="00D40B38"/>
    <w:rsid w:val="00D42F7B"/>
    <w:rsid w:val="00D447D7"/>
    <w:rsid w:val="00D46FF8"/>
    <w:rsid w:val="00D55089"/>
    <w:rsid w:val="00D55AFC"/>
    <w:rsid w:val="00D56098"/>
    <w:rsid w:val="00D56525"/>
    <w:rsid w:val="00D57AF1"/>
    <w:rsid w:val="00D624C2"/>
    <w:rsid w:val="00D64722"/>
    <w:rsid w:val="00D64B09"/>
    <w:rsid w:val="00D65684"/>
    <w:rsid w:val="00D65CBE"/>
    <w:rsid w:val="00D66F9E"/>
    <w:rsid w:val="00D71241"/>
    <w:rsid w:val="00D71B72"/>
    <w:rsid w:val="00D71C4F"/>
    <w:rsid w:val="00D71F35"/>
    <w:rsid w:val="00D74C56"/>
    <w:rsid w:val="00D7634C"/>
    <w:rsid w:val="00D81D05"/>
    <w:rsid w:val="00D83A26"/>
    <w:rsid w:val="00D85C28"/>
    <w:rsid w:val="00D867D7"/>
    <w:rsid w:val="00D91D3C"/>
    <w:rsid w:val="00DA15F5"/>
    <w:rsid w:val="00DA596D"/>
    <w:rsid w:val="00DA76FA"/>
    <w:rsid w:val="00DB06E4"/>
    <w:rsid w:val="00DB117D"/>
    <w:rsid w:val="00DB24BB"/>
    <w:rsid w:val="00DB2B49"/>
    <w:rsid w:val="00DB2E10"/>
    <w:rsid w:val="00DB42F0"/>
    <w:rsid w:val="00DB6FC2"/>
    <w:rsid w:val="00DB705D"/>
    <w:rsid w:val="00DC28FE"/>
    <w:rsid w:val="00DC290C"/>
    <w:rsid w:val="00DC33B4"/>
    <w:rsid w:val="00DD3809"/>
    <w:rsid w:val="00DD4656"/>
    <w:rsid w:val="00DD58F3"/>
    <w:rsid w:val="00DD6D10"/>
    <w:rsid w:val="00DD718C"/>
    <w:rsid w:val="00DE29B8"/>
    <w:rsid w:val="00DE4F75"/>
    <w:rsid w:val="00DF01DF"/>
    <w:rsid w:val="00DF29F9"/>
    <w:rsid w:val="00DF2E52"/>
    <w:rsid w:val="00DF6A09"/>
    <w:rsid w:val="00E018FB"/>
    <w:rsid w:val="00E100FA"/>
    <w:rsid w:val="00E1058D"/>
    <w:rsid w:val="00E135C8"/>
    <w:rsid w:val="00E13B82"/>
    <w:rsid w:val="00E13FA5"/>
    <w:rsid w:val="00E163F5"/>
    <w:rsid w:val="00E167F0"/>
    <w:rsid w:val="00E20B68"/>
    <w:rsid w:val="00E21DC0"/>
    <w:rsid w:val="00E236BF"/>
    <w:rsid w:val="00E241D6"/>
    <w:rsid w:val="00E30FDE"/>
    <w:rsid w:val="00E31558"/>
    <w:rsid w:val="00E350BA"/>
    <w:rsid w:val="00E404FF"/>
    <w:rsid w:val="00E4248F"/>
    <w:rsid w:val="00E44D33"/>
    <w:rsid w:val="00E566D9"/>
    <w:rsid w:val="00E60E88"/>
    <w:rsid w:val="00E61034"/>
    <w:rsid w:val="00E614B7"/>
    <w:rsid w:val="00E61FE7"/>
    <w:rsid w:val="00E633C6"/>
    <w:rsid w:val="00E636DF"/>
    <w:rsid w:val="00E63D2B"/>
    <w:rsid w:val="00E64150"/>
    <w:rsid w:val="00E6763B"/>
    <w:rsid w:val="00E733EA"/>
    <w:rsid w:val="00E8129F"/>
    <w:rsid w:val="00E84EDA"/>
    <w:rsid w:val="00E856FD"/>
    <w:rsid w:val="00E85B70"/>
    <w:rsid w:val="00E85D0A"/>
    <w:rsid w:val="00E8793E"/>
    <w:rsid w:val="00E924E0"/>
    <w:rsid w:val="00E953D4"/>
    <w:rsid w:val="00E95746"/>
    <w:rsid w:val="00E95E8A"/>
    <w:rsid w:val="00EA0280"/>
    <w:rsid w:val="00EA33FE"/>
    <w:rsid w:val="00EA619F"/>
    <w:rsid w:val="00EA6294"/>
    <w:rsid w:val="00EA734D"/>
    <w:rsid w:val="00EB58BD"/>
    <w:rsid w:val="00EB6D30"/>
    <w:rsid w:val="00EB728A"/>
    <w:rsid w:val="00EC0FFC"/>
    <w:rsid w:val="00EC3CE8"/>
    <w:rsid w:val="00EC69E1"/>
    <w:rsid w:val="00ED2E33"/>
    <w:rsid w:val="00ED3024"/>
    <w:rsid w:val="00ED69C4"/>
    <w:rsid w:val="00ED71B6"/>
    <w:rsid w:val="00ED7A11"/>
    <w:rsid w:val="00ED7AC1"/>
    <w:rsid w:val="00EE0548"/>
    <w:rsid w:val="00EE5474"/>
    <w:rsid w:val="00EE6737"/>
    <w:rsid w:val="00EF0E10"/>
    <w:rsid w:val="00EF0EC2"/>
    <w:rsid w:val="00EF2076"/>
    <w:rsid w:val="00EF2AFB"/>
    <w:rsid w:val="00EF2D2E"/>
    <w:rsid w:val="00EF394A"/>
    <w:rsid w:val="00F00895"/>
    <w:rsid w:val="00F03834"/>
    <w:rsid w:val="00F05171"/>
    <w:rsid w:val="00F06A8B"/>
    <w:rsid w:val="00F07F65"/>
    <w:rsid w:val="00F10795"/>
    <w:rsid w:val="00F16DE1"/>
    <w:rsid w:val="00F21224"/>
    <w:rsid w:val="00F218BE"/>
    <w:rsid w:val="00F23231"/>
    <w:rsid w:val="00F248AD"/>
    <w:rsid w:val="00F25C1E"/>
    <w:rsid w:val="00F325E1"/>
    <w:rsid w:val="00F32A88"/>
    <w:rsid w:val="00F33D5C"/>
    <w:rsid w:val="00F3556C"/>
    <w:rsid w:val="00F40C84"/>
    <w:rsid w:val="00F41C1C"/>
    <w:rsid w:val="00F42426"/>
    <w:rsid w:val="00F42D68"/>
    <w:rsid w:val="00F431FB"/>
    <w:rsid w:val="00F433C7"/>
    <w:rsid w:val="00F43A56"/>
    <w:rsid w:val="00F51D9D"/>
    <w:rsid w:val="00F5365D"/>
    <w:rsid w:val="00F53ACB"/>
    <w:rsid w:val="00F5551A"/>
    <w:rsid w:val="00F60E46"/>
    <w:rsid w:val="00F61310"/>
    <w:rsid w:val="00F6184E"/>
    <w:rsid w:val="00F61AF3"/>
    <w:rsid w:val="00F63E13"/>
    <w:rsid w:val="00F65260"/>
    <w:rsid w:val="00F66166"/>
    <w:rsid w:val="00F67FCC"/>
    <w:rsid w:val="00F73E91"/>
    <w:rsid w:val="00F73F9B"/>
    <w:rsid w:val="00F74721"/>
    <w:rsid w:val="00F8007E"/>
    <w:rsid w:val="00F81C8A"/>
    <w:rsid w:val="00F81FEA"/>
    <w:rsid w:val="00F83CD7"/>
    <w:rsid w:val="00F83FA5"/>
    <w:rsid w:val="00F84805"/>
    <w:rsid w:val="00F85E41"/>
    <w:rsid w:val="00F931EB"/>
    <w:rsid w:val="00F93451"/>
    <w:rsid w:val="00F9553D"/>
    <w:rsid w:val="00F96A1C"/>
    <w:rsid w:val="00FA0B48"/>
    <w:rsid w:val="00FA1F2D"/>
    <w:rsid w:val="00FA2B02"/>
    <w:rsid w:val="00FA658B"/>
    <w:rsid w:val="00FA7312"/>
    <w:rsid w:val="00FB1115"/>
    <w:rsid w:val="00FB1825"/>
    <w:rsid w:val="00FB4AE4"/>
    <w:rsid w:val="00FC1B5B"/>
    <w:rsid w:val="00FC429F"/>
    <w:rsid w:val="00FD26B6"/>
    <w:rsid w:val="00FD3931"/>
    <w:rsid w:val="00FD395C"/>
    <w:rsid w:val="00FD5739"/>
    <w:rsid w:val="00FD7791"/>
    <w:rsid w:val="00FE4723"/>
    <w:rsid w:val="00FE5CDD"/>
    <w:rsid w:val="00FE6494"/>
    <w:rsid w:val="00FE7A02"/>
    <w:rsid w:val="00FE7A55"/>
    <w:rsid w:val="00FF64D3"/>
    <w:rsid w:val="00FF75F1"/>
    <w:rsid w:val="00FF781B"/>
    <w:rsid w:val="034FE59B"/>
    <w:rsid w:val="0B259256"/>
    <w:rsid w:val="0E748A32"/>
    <w:rsid w:val="0E846443"/>
    <w:rsid w:val="1056FD3B"/>
    <w:rsid w:val="1857164C"/>
    <w:rsid w:val="328FA6CB"/>
    <w:rsid w:val="43BB6B1F"/>
    <w:rsid w:val="4946402B"/>
    <w:rsid w:val="4E9E4586"/>
    <w:rsid w:val="584837A6"/>
    <w:rsid w:val="63CEB24C"/>
    <w:rsid w:val="726EB8FF"/>
    <w:rsid w:val="767ECEE1"/>
    <w:rsid w:val="7A0D8D14"/>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3BCF8E"/>
  <w15:docId w15:val="{79AB0C4E-7768-4931-B5EA-AF99859E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9B8"/>
    <w:pPr>
      <w:spacing w:before="0" w:after="0"/>
    </w:pPr>
    <w:rPr>
      <w:sz w:val="24"/>
    </w:rPr>
  </w:style>
  <w:style w:type="paragraph" w:styleId="Heading1">
    <w:name w:val="heading 1"/>
    <w:basedOn w:val="Normal"/>
    <w:next w:val="BodyText"/>
    <w:link w:val="Heading1Char"/>
    <w:qFormat/>
    <w:rsid w:val="00DE29B8"/>
    <w:pPr>
      <w:keepNext/>
      <w:keepLines/>
      <w:widowControl w:val="0"/>
      <w:tabs>
        <w:tab w:val="right" w:leader="dot" w:pos="8789"/>
      </w:tabs>
      <w:spacing w:before="240" w:after="120"/>
      <w:outlineLvl w:val="0"/>
    </w:pPr>
    <w:rPr>
      <w:rFonts w:asciiTheme="majorHAnsi" w:eastAsia="Times New Roman" w:hAnsiTheme="majorHAnsi" w:cs="Arial"/>
      <w:b/>
      <w:bCs/>
      <w:kern w:val="32"/>
      <w:sz w:val="32"/>
      <w:szCs w:val="32"/>
      <w:lang w:eastAsia="en-AU"/>
    </w:rPr>
  </w:style>
  <w:style w:type="paragraph" w:styleId="Heading2">
    <w:name w:val="heading 2"/>
    <w:basedOn w:val="Normal"/>
    <w:next w:val="BodyText"/>
    <w:link w:val="Heading2Char"/>
    <w:qFormat/>
    <w:rsid w:val="00DE29B8"/>
    <w:pPr>
      <w:keepNext/>
      <w:keepLines/>
      <w:spacing w:before="240" w:after="120"/>
      <w:outlineLvl w:val="1"/>
    </w:pPr>
    <w:rPr>
      <w:rFonts w:asciiTheme="majorHAnsi" w:eastAsia="Times New Roman" w:hAnsiTheme="majorHAnsi" w:cs="Arial"/>
      <w:bCs/>
      <w:iCs/>
      <w:sz w:val="28"/>
      <w:szCs w:val="28"/>
      <w:lang w:eastAsia="en-AU"/>
    </w:rPr>
  </w:style>
  <w:style w:type="paragraph" w:styleId="Heading3">
    <w:name w:val="heading 3"/>
    <w:basedOn w:val="Normal"/>
    <w:next w:val="BodyText"/>
    <w:link w:val="Heading3Char"/>
    <w:qFormat/>
    <w:rsid w:val="00DE29B8"/>
    <w:pPr>
      <w:keepNext/>
      <w:keepLines/>
      <w:spacing w:before="240" w:after="120"/>
      <w:outlineLvl w:val="2"/>
    </w:pPr>
    <w:rPr>
      <w:rFonts w:asciiTheme="majorHAnsi" w:eastAsia="Times New Roman" w:hAnsiTheme="majorHAnsi" w:cs="Times New Roman"/>
      <w:b/>
      <w:bCs/>
      <w:szCs w:val="24"/>
      <w:lang w:eastAsia="en-AU"/>
    </w:rPr>
  </w:style>
  <w:style w:type="paragraph" w:styleId="Heading4">
    <w:name w:val="heading 4"/>
    <w:basedOn w:val="Normal"/>
    <w:next w:val="BodyText"/>
    <w:link w:val="Heading4Char"/>
    <w:semiHidden/>
    <w:qFormat/>
    <w:rsid w:val="00DE29B8"/>
    <w:pPr>
      <w:keepNext/>
      <w:keepLines/>
      <w:numPr>
        <w:ilvl w:val="3"/>
        <w:numId w:val="1"/>
      </w:numPr>
      <w:spacing w:before="180" w:after="120"/>
      <w:outlineLvl w:val="3"/>
    </w:pPr>
    <w:rPr>
      <w:rFonts w:asciiTheme="majorHAnsi" w:eastAsia="Times New Roman" w:hAnsiTheme="majorHAnsi" w:cs="Times New Roman"/>
      <w:bCs/>
      <w:i/>
      <w:color w:val="004B8D" w:themeColor="accent1"/>
      <w:lang w:eastAsia="en-AU"/>
    </w:rPr>
  </w:style>
  <w:style w:type="paragraph" w:styleId="Heading5">
    <w:name w:val="heading 5"/>
    <w:basedOn w:val="Normal"/>
    <w:next w:val="BodyText"/>
    <w:link w:val="Heading5Char"/>
    <w:semiHidden/>
    <w:qFormat/>
    <w:rsid w:val="00DE29B8"/>
    <w:pPr>
      <w:keepNext/>
      <w:keepLines/>
      <w:numPr>
        <w:ilvl w:val="4"/>
        <w:numId w:val="1"/>
      </w:numPr>
      <w:spacing w:before="120" w:after="120"/>
      <w:outlineLvl w:val="4"/>
    </w:pPr>
    <w:rPr>
      <w:rFonts w:asciiTheme="majorHAnsi" w:eastAsia="Times New Roman" w:hAnsiTheme="majorHAnsi" w:cs="Times New Roman"/>
      <w:bCs/>
      <w:iCs/>
      <w:color w:val="004B8D" w:themeColor="accent1"/>
      <w:szCs w:val="26"/>
      <w:u w:val="single"/>
      <w:lang w:eastAsia="en-AU"/>
    </w:rPr>
  </w:style>
  <w:style w:type="paragraph" w:styleId="Heading6">
    <w:name w:val="heading 6"/>
    <w:basedOn w:val="Normal"/>
    <w:next w:val="Normal"/>
    <w:link w:val="Heading6Char"/>
    <w:uiPriority w:val="99"/>
    <w:semiHidden/>
    <w:qFormat/>
    <w:rsid w:val="00DE29B8"/>
    <w:pPr>
      <w:numPr>
        <w:ilvl w:val="5"/>
        <w:numId w:val="1"/>
      </w:numPr>
      <w:spacing w:before="120" w:after="120"/>
      <w:outlineLvl w:val="5"/>
    </w:pPr>
    <w:rPr>
      <w:rFonts w:eastAsia="Times New Roman" w:cs="Times New Roman"/>
      <w:bCs/>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FB1825"/>
    <w:pPr>
      <w:spacing w:before="240" w:after="240" w:line="264" w:lineRule="auto"/>
    </w:pPr>
    <w:rPr>
      <w:rFonts w:eastAsia="Arial" w:cs="Arial"/>
      <w:color w:val="000000" w:themeColor="text1"/>
      <w:lang w:eastAsia="en-AU"/>
    </w:rPr>
  </w:style>
  <w:style w:type="character" w:customStyle="1" w:styleId="BodyTextChar">
    <w:name w:val="Body Text Char"/>
    <w:basedOn w:val="DefaultParagraphFont"/>
    <w:link w:val="BodyText"/>
    <w:rsid w:val="00FB1825"/>
    <w:rPr>
      <w:rFonts w:eastAsia="Arial" w:cs="Arial"/>
      <w:color w:val="000000" w:themeColor="text1"/>
      <w:sz w:val="24"/>
      <w:lang w:eastAsia="en-AU"/>
    </w:rPr>
  </w:style>
  <w:style w:type="character" w:customStyle="1" w:styleId="Heading1Char">
    <w:name w:val="Heading 1 Char"/>
    <w:basedOn w:val="DefaultParagraphFont"/>
    <w:link w:val="Heading1"/>
    <w:rsid w:val="00DE29B8"/>
    <w:rPr>
      <w:rFonts w:asciiTheme="majorHAnsi" w:eastAsia="Times New Roman" w:hAnsiTheme="majorHAnsi" w:cs="Arial"/>
      <w:b/>
      <w:bCs/>
      <w:kern w:val="32"/>
      <w:sz w:val="32"/>
      <w:szCs w:val="32"/>
      <w:lang w:eastAsia="en-AU"/>
    </w:rPr>
  </w:style>
  <w:style w:type="character" w:customStyle="1" w:styleId="Heading2Char">
    <w:name w:val="Heading 2 Char"/>
    <w:basedOn w:val="DefaultParagraphFont"/>
    <w:link w:val="Heading2"/>
    <w:rsid w:val="00DE29B8"/>
    <w:rPr>
      <w:rFonts w:asciiTheme="majorHAnsi" w:eastAsia="Times New Roman" w:hAnsiTheme="majorHAnsi" w:cs="Arial"/>
      <w:bCs/>
      <w:iCs/>
      <w:sz w:val="28"/>
      <w:szCs w:val="28"/>
      <w:lang w:eastAsia="en-AU"/>
    </w:rPr>
  </w:style>
  <w:style w:type="character" w:customStyle="1" w:styleId="Heading3Char">
    <w:name w:val="Heading 3 Char"/>
    <w:basedOn w:val="DefaultParagraphFont"/>
    <w:link w:val="Heading3"/>
    <w:rsid w:val="00DE29B8"/>
    <w:rPr>
      <w:rFonts w:asciiTheme="majorHAnsi" w:eastAsia="Times New Roman" w:hAnsiTheme="majorHAnsi" w:cs="Times New Roman"/>
      <w:b/>
      <w:bCs/>
      <w:sz w:val="24"/>
      <w:szCs w:val="24"/>
      <w:lang w:eastAsia="en-AU"/>
    </w:rPr>
  </w:style>
  <w:style w:type="character" w:customStyle="1" w:styleId="Heading4Char">
    <w:name w:val="Heading 4 Char"/>
    <w:basedOn w:val="DefaultParagraphFont"/>
    <w:link w:val="Heading4"/>
    <w:semiHidden/>
    <w:rsid w:val="00DE29B8"/>
    <w:rPr>
      <w:rFonts w:asciiTheme="majorHAnsi" w:eastAsia="Times New Roman" w:hAnsiTheme="majorHAnsi" w:cs="Times New Roman"/>
      <w:bCs/>
      <w:i/>
      <w:color w:val="004B8D" w:themeColor="accent1"/>
      <w:sz w:val="24"/>
      <w:lang w:eastAsia="en-AU"/>
    </w:rPr>
  </w:style>
  <w:style w:type="paragraph" w:customStyle="1" w:styleId="NbrHeading1">
    <w:name w:val="Nbr Heading 1"/>
    <w:basedOn w:val="Heading1"/>
    <w:qFormat/>
    <w:rsid w:val="00DE29B8"/>
    <w:pPr>
      <w:numPr>
        <w:numId w:val="10"/>
      </w:numPr>
    </w:pPr>
  </w:style>
  <w:style w:type="paragraph" w:customStyle="1" w:styleId="NbrHeading2">
    <w:name w:val="Nbr Heading 2"/>
    <w:basedOn w:val="Heading2"/>
    <w:qFormat/>
    <w:rsid w:val="00DE29B8"/>
    <w:pPr>
      <w:numPr>
        <w:ilvl w:val="1"/>
        <w:numId w:val="10"/>
      </w:numPr>
    </w:pPr>
  </w:style>
  <w:style w:type="paragraph" w:customStyle="1" w:styleId="NbrHeading3">
    <w:name w:val="Nbr Heading 3"/>
    <w:basedOn w:val="Heading3"/>
    <w:qFormat/>
    <w:rsid w:val="00DE29B8"/>
    <w:pPr>
      <w:numPr>
        <w:ilvl w:val="2"/>
        <w:numId w:val="10"/>
      </w:numPr>
    </w:pPr>
  </w:style>
  <w:style w:type="paragraph" w:styleId="Title">
    <w:name w:val="Title"/>
    <w:basedOn w:val="Normal"/>
    <w:next w:val="BodyText"/>
    <w:link w:val="TitleChar"/>
    <w:uiPriority w:val="9"/>
    <w:rsid w:val="00DE29B8"/>
    <w:pPr>
      <w:spacing w:after="360"/>
    </w:pPr>
    <w:rPr>
      <w:rFonts w:asciiTheme="majorHAnsi" w:eastAsiaTheme="majorEastAsia" w:hAnsiTheme="majorHAnsi" w:cstheme="majorBidi"/>
      <w:sz w:val="40"/>
      <w:szCs w:val="52"/>
    </w:rPr>
  </w:style>
  <w:style w:type="character" w:customStyle="1" w:styleId="TitleChar">
    <w:name w:val="Title Char"/>
    <w:basedOn w:val="DefaultParagraphFont"/>
    <w:link w:val="Title"/>
    <w:uiPriority w:val="9"/>
    <w:rsid w:val="00DE29B8"/>
    <w:rPr>
      <w:rFonts w:asciiTheme="majorHAnsi" w:eastAsiaTheme="majorEastAsia" w:hAnsiTheme="majorHAnsi" w:cstheme="majorBidi"/>
      <w:sz w:val="40"/>
      <w:szCs w:val="52"/>
    </w:rPr>
  </w:style>
  <w:style w:type="paragraph" w:styleId="Subtitle">
    <w:name w:val="Subtitle"/>
    <w:basedOn w:val="Normal"/>
    <w:next w:val="BodyText"/>
    <w:link w:val="SubtitleChar"/>
    <w:uiPriority w:val="11"/>
    <w:qFormat/>
    <w:rsid w:val="00DE29B8"/>
    <w:pPr>
      <w:numPr>
        <w:ilvl w:val="1"/>
      </w:numPr>
      <w:spacing w:before="280" w:after="280"/>
    </w:pPr>
    <w:rPr>
      <w:rFonts w:asciiTheme="majorHAnsi" w:eastAsiaTheme="majorEastAsia" w:hAnsiTheme="majorHAnsi" w:cstheme="majorBidi"/>
      <w:iCs/>
      <w:sz w:val="28"/>
      <w:szCs w:val="24"/>
    </w:rPr>
  </w:style>
  <w:style w:type="character" w:customStyle="1" w:styleId="SubtitleChar">
    <w:name w:val="Subtitle Char"/>
    <w:basedOn w:val="DefaultParagraphFont"/>
    <w:link w:val="Subtitle"/>
    <w:uiPriority w:val="11"/>
    <w:rsid w:val="00DE29B8"/>
    <w:rPr>
      <w:rFonts w:asciiTheme="majorHAnsi" w:eastAsiaTheme="majorEastAsia" w:hAnsiTheme="majorHAnsi" w:cstheme="majorBidi"/>
      <w:iCs/>
      <w:sz w:val="28"/>
      <w:szCs w:val="24"/>
    </w:rPr>
  </w:style>
  <w:style w:type="paragraph" w:styleId="BodyText2">
    <w:name w:val="Body Text 2"/>
    <w:basedOn w:val="BodyText"/>
    <w:link w:val="BodyText2Char"/>
    <w:uiPriority w:val="99"/>
    <w:semiHidden/>
    <w:qFormat/>
    <w:rsid w:val="00DE29B8"/>
    <w:pPr>
      <w:numPr>
        <w:ilvl w:val="1"/>
      </w:numPr>
      <w:tabs>
        <w:tab w:val="left" w:pos="567"/>
      </w:tabs>
    </w:pPr>
  </w:style>
  <w:style w:type="character" w:customStyle="1" w:styleId="BodyText2Char">
    <w:name w:val="Body Text 2 Char"/>
    <w:basedOn w:val="DefaultParagraphFont"/>
    <w:link w:val="BodyText2"/>
    <w:uiPriority w:val="99"/>
    <w:semiHidden/>
    <w:rsid w:val="00DE29B8"/>
    <w:rPr>
      <w:rFonts w:eastAsia="Times New Roman" w:cs="Times New Roman"/>
      <w:sz w:val="24"/>
      <w:szCs w:val="24"/>
      <w:lang w:eastAsia="en-AU"/>
    </w:rPr>
  </w:style>
  <w:style w:type="paragraph" w:styleId="Header">
    <w:name w:val="header"/>
    <w:basedOn w:val="Normal"/>
    <w:link w:val="HeaderChar"/>
    <w:uiPriority w:val="99"/>
    <w:semiHidden/>
    <w:rsid w:val="00DE29B8"/>
    <w:rPr>
      <w:sz w:val="17"/>
    </w:rPr>
  </w:style>
  <w:style w:type="character" w:customStyle="1" w:styleId="HeaderChar">
    <w:name w:val="Header Char"/>
    <w:basedOn w:val="DefaultParagraphFont"/>
    <w:link w:val="Header"/>
    <w:uiPriority w:val="99"/>
    <w:semiHidden/>
    <w:rsid w:val="00DE29B8"/>
    <w:rPr>
      <w:sz w:val="17"/>
    </w:rPr>
  </w:style>
  <w:style w:type="paragraph" w:styleId="Footer">
    <w:name w:val="footer"/>
    <w:basedOn w:val="Normal"/>
    <w:link w:val="FooterChar"/>
    <w:uiPriority w:val="99"/>
    <w:rsid w:val="00DE29B8"/>
    <w:pPr>
      <w:tabs>
        <w:tab w:val="left" w:pos="567"/>
        <w:tab w:val="right" w:pos="9639"/>
      </w:tabs>
    </w:pPr>
    <w:rPr>
      <w:noProof/>
    </w:rPr>
  </w:style>
  <w:style w:type="character" w:customStyle="1" w:styleId="FooterChar">
    <w:name w:val="Footer Char"/>
    <w:basedOn w:val="DefaultParagraphFont"/>
    <w:link w:val="Footer"/>
    <w:uiPriority w:val="99"/>
    <w:rsid w:val="00DE29B8"/>
    <w:rPr>
      <w:noProof/>
      <w:sz w:val="24"/>
    </w:rPr>
  </w:style>
  <w:style w:type="paragraph" w:styleId="ListNumber">
    <w:name w:val="List Number"/>
    <w:basedOn w:val="Normal"/>
    <w:uiPriority w:val="1"/>
    <w:qFormat/>
    <w:rsid w:val="00DE29B8"/>
    <w:pPr>
      <w:numPr>
        <w:numId w:val="7"/>
      </w:numPr>
      <w:spacing w:before="120" w:line="264" w:lineRule="auto"/>
    </w:pPr>
    <w:rPr>
      <w:rFonts w:eastAsia="Times New Roman" w:cs="Times New Roman"/>
      <w:szCs w:val="24"/>
      <w:lang w:eastAsia="en-AU"/>
    </w:rPr>
  </w:style>
  <w:style w:type="paragraph" w:styleId="ListBullet0">
    <w:name w:val="List Bullet"/>
    <w:basedOn w:val="Normal"/>
    <w:uiPriority w:val="1"/>
    <w:qFormat/>
    <w:rsid w:val="00DE29B8"/>
    <w:pPr>
      <w:numPr>
        <w:numId w:val="9"/>
      </w:numPr>
      <w:spacing w:before="120" w:line="264" w:lineRule="auto"/>
    </w:pPr>
    <w:rPr>
      <w:rFonts w:eastAsia="Times New Roman" w:cs="Times New Roman"/>
      <w:szCs w:val="24"/>
      <w:lang w:eastAsia="en-AU"/>
    </w:rPr>
  </w:style>
  <w:style w:type="character" w:styleId="Hyperlink">
    <w:name w:val="Hyperlink"/>
    <w:basedOn w:val="DefaultParagraphFont"/>
    <w:uiPriority w:val="99"/>
    <w:rsid w:val="00DE29B8"/>
    <w:rPr>
      <w:color w:val="055FC1"/>
      <w:u w:val="single"/>
    </w:rPr>
  </w:style>
  <w:style w:type="paragraph" w:styleId="TOC1">
    <w:name w:val="toc 1"/>
    <w:basedOn w:val="Normal"/>
    <w:next w:val="Normal"/>
    <w:uiPriority w:val="39"/>
    <w:rsid w:val="00DE29B8"/>
    <w:pPr>
      <w:keepNext/>
      <w:tabs>
        <w:tab w:val="right" w:pos="7371"/>
      </w:tabs>
      <w:spacing w:before="240" w:after="60"/>
      <w:ind w:right="2552"/>
    </w:pPr>
    <w:rPr>
      <w:b/>
      <w:noProof/>
    </w:rPr>
  </w:style>
  <w:style w:type="paragraph" w:styleId="TOC2">
    <w:name w:val="toc 2"/>
    <w:basedOn w:val="Normal"/>
    <w:next w:val="Normal"/>
    <w:uiPriority w:val="39"/>
    <w:rsid w:val="00DE29B8"/>
    <w:pPr>
      <w:tabs>
        <w:tab w:val="right" w:pos="7371"/>
      </w:tabs>
      <w:spacing w:before="60" w:after="60"/>
      <w:ind w:left="567" w:right="2552"/>
    </w:pPr>
    <w:rPr>
      <w:noProof/>
    </w:rPr>
  </w:style>
  <w:style w:type="paragraph" w:styleId="TOC3">
    <w:name w:val="toc 3"/>
    <w:basedOn w:val="Normal"/>
    <w:next w:val="Normal"/>
    <w:uiPriority w:val="39"/>
    <w:rsid w:val="00DE29B8"/>
    <w:pPr>
      <w:tabs>
        <w:tab w:val="right" w:pos="9639"/>
      </w:tabs>
      <w:spacing w:after="60"/>
      <w:ind w:right="567"/>
    </w:pPr>
    <w:rPr>
      <w:sz w:val="18"/>
    </w:rPr>
  </w:style>
  <w:style w:type="table" w:styleId="TableGrid">
    <w:name w:val="Table Grid"/>
    <w:basedOn w:val="TableNormal"/>
    <w:uiPriority w:val="59"/>
    <w:rsid w:val="00DE29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2"/>
    <w:qFormat/>
    <w:rsid w:val="00DE29B8"/>
    <w:pPr>
      <w:spacing w:before="60" w:after="60"/>
    </w:pPr>
    <w:rPr>
      <w:b/>
    </w:rPr>
  </w:style>
  <w:style w:type="paragraph" w:customStyle="1" w:styleId="TableBullet">
    <w:name w:val="Table Bullet"/>
    <w:basedOn w:val="Normal"/>
    <w:uiPriority w:val="4"/>
    <w:qFormat/>
    <w:rsid w:val="00DE29B8"/>
    <w:pPr>
      <w:numPr>
        <w:numId w:val="13"/>
      </w:numPr>
      <w:spacing w:before="60" w:after="60"/>
    </w:pPr>
    <w:rPr>
      <w:rFonts w:eastAsia="Times New Roman" w:cs="Times New Roman"/>
      <w:szCs w:val="24"/>
      <w:lang w:eastAsia="en-AU"/>
    </w:rPr>
  </w:style>
  <w:style w:type="paragraph" w:customStyle="1" w:styleId="TableNumber">
    <w:name w:val="Table Number"/>
    <w:basedOn w:val="Normal"/>
    <w:uiPriority w:val="4"/>
    <w:qFormat/>
    <w:rsid w:val="00DE29B8"/>
    <w:pPr>
      <w:numPr>
        <w:numId w:val="14"/>
      </w:numPr>
      <w:spacing w:before="60" w:after="60"/>
    </w:pPr>
  </w:style>
  <w:style w:type="character" w:customStyle="1" w:styleId="Heading5Char">
    <w:name w:val="Heading 5 Char"/>
    <w:basedOn w:val="DefaultParagraphFont"/>
    <w:link w:val="Heading5"/>
    <w:semiHidden/>
    <w:rsid w:val="00DE29B8"/>
    <w:rPr>
      <w:rFonts w:asciiTheme="majorHAnsi" w:eastAsia="Times New Roman" w:hAnsiTheme="majorHAnsi" w:cs="Times New Roman"/>
      <w:bCs/>
      <w:iCs/>
      <w:color w:val="004B8D" w:themeColor="accent1"/>
      <w:sz w:val="24"/>
      <w:szCs w:val="26"/>
      <w:u w:val="single"/>
      <w:lang w:eastAsia="en-AU"/>
    </w:rPr>
  </w:style>
  <w:style w:type="character" w:customStyle="1" w:styleId="Heading6Char">
    <w:name w:val="Heading 6 Char"/>
    <w:basedOn w:val="DefaultParagraphFont"/>
    <w:link w:val="Heading6"/>
    <w:uiPriority w:val="99"/>
    <w:semiHidden/>
    <w:rsid w:val="00DE29B8"/>
    <w:rPr>
      <w:rFonts w:eastAsia="Times New Roman" w:cs="Times New Roman"/>
      <w:bCs/>
      <w:sz w:val="24"/>
      <w:lang w:eastAsia="en-AU"/>
    </w:rPr>
  </w:style>
  <w:style w:type="paragraph" w:styleId="BodyText3">
    <w:name w:val="Body Text 3"/>
    <w:basedOn w:val="BodyText"/>
    <w:link w:val="BodyText3Char"/>
    <w:uiPriority w:val="99"/>
    <w:semiHidden/>
    <w:qFormat/>
    <w:rsid w:val="00DE29B8"/>
    <w:pPr>
      <w:numPr>
        <w:ilvl w:val="2"/>
      </w:numPr>
    </w:pPr>
    <w:rPr>
      <w:szCs w:val="16"/>
    </w:rPr>
  </w:style>
  <w:style w:type="character" w:customStyle="1" w:styleId="BodyText3Char">
    <w:name w:val="Body Text 3 Char"/>
    <w:basedOn w:val="DefaultParagraphFont"/>
    <w:link w:val="BodyText3"/>
    <w:uiPriority w:val="99"/>
    <w:semiHidden/>
    <w:rsid w:val="00DE29B8"/>
    <w:rPr>
      <w:rFonts w:eastAsia="Times New Roman" w:cs="Times New Roman"/>
      <w:sz w:val="24"/>
      <w:szCs w:val="16"/>
      <w:lang w:eastAsia="en-AU"/>
    </w:rPr>
  </w:style>
  <w:style w:type="paragraph" w:styleId="ListParagraph0">
    <w:name w:val="List Paragraph"/>
    <w:basedOn w:val="ListBullet0"/>
    <w:uiPriority w:val="1"/>
    <w:qFormat/>
    <w:rsid w:val="00DE29B8"/>
    <w:pPr>
      <w:numPr>
        <w:numId w:val="8"/>
      </w:numPr>
    </w:pPr>
  </w:style>
  <w:style w:type="paragraph" w:styleId="TOC4">
    <w:name w:val="toc 4"/>
    <w:basedOn w:val="TOC1"/>
    <w:next w:val="Normal"/>
    <w:uiPriority w:val="39"/>
    <w:semiHidden/>
    <w:rsid w:val="00DE29B8"/>
    <w:pPr>
      <w:tabs>
        <w:tab w:val="left" w:pos="567"/>
      </w:tabs>
      <w:ind w:left="567" w:hanging="567"/>
    </w:pPr>
  </w:style>
  <w:style w:type="paragraph" w:styleId="BalloonText">
    <w:name w:val="Balloon Text"/>
    <w:basedOn w:val="Normal"/>
    <w:link w:val="BalloonTextChar"/>
    <w:uiPriority w:val="99"/>
    <w:semiHidden/>
    <w:rsid w:val="00DE29B8"/>
    <w:rPr>
      <w:rFonts w:ascii="Tahoma" w:hAnsi="Tahoma" w:cs="Tahoma"/>
      <w:sz w:val="16"/>
      <w:szCs w:val="16"/>
    </w:rPr>
  </w:style>
  <w:style w:type="character" w:customStyle="1" w:styleId="BalloonTextChar">
    <w:name w:val="Balloon Text Char"/>
    <w:basedOn w:val="DefaultParagraphFont"/>
    <w:link w:val="BalloonText"/>
    <w:uiPriority w:val="99"/>
    <w:semiHidden/>
    <w:rsid w:val="00DE29B8"/>
    <w:rPr>
      <w:rFonts w:ascii="Tahoma" w:hAnsi="Tahoma" w:cs="Tahoma"/>
      <w:sz w:val="16"/>
      <w:szCs w:val="16"/>
    </w:rPr>
  </w:style>
  <w:style w:type="paragraph" w:styleId="Quote">
    <w:name w:val="Quote"/>
    <w:basedOn w:val="Normal"/>
    <w:next w:val="Normal"/>
    <w:link w:val="QuoteChar"/>
    <w:uiPriority w:val="99"/>
    <w:semiHidden/>
    <w:qFormat/>
    <w:rsid w:val="00DE29B8"/>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DE29B8"/>
    <w:rPr>
      <w:i/>
      <w:iCs/>
      <w:color w:val="000000" w:themeColor="text1"/>
      <w:sz w:val="24"/>
    </w:rPr>
  </w:style>
  <w:style w:type="paragraph" w:customStyle="1" w:styleId="FigureCaption">
    <w:name w:val="Figure Caption"/>
    <w:basedOn w:val="Normal"/>
    <w:next w:val="BodyText"/>
    <w:uiPriority w:val="6"/>
    <w:semiHidden/>
    <w:qFormat/>
    <w:rsid w:val="00DE29B8"/>
    <w:pPr>
      <w:tabs>
        <w:tab w:val="left" w:pos="1134"/>
      </w:tabs>
      <w:spacing w:before="120" w:after="240"/>
      <w:ind w:left="1134" w:hanging="1134"/>
      <w:jc w:val="center"/>
    </w:pPr>
    <w:rPr>
      <w:b/>
    </w:rPr>
  </w:style>
  <w:style w:type="paragraph" w:customStyle="1" w:styleId="TableTitle">
    <w:name w:val="Table Title"/>
    <w:basedOn w:val="Caption"/>
    <w:uiPriority w:val="6"/>
    <w:qFormat/>
    <w:rsid w:val="00DE29B8"/>
    <w:pPr>
      <w:keepNext/>
    </w:pPr>
  </w:style>
  <w:style w:type="paragraph" w:customStyle="1" w:styleId="FigureStyle">
    <w:name w:val="Figure Style"/>
    <w:basedOn w:val="BodyText"/>
    <w:uiPriority w:val="6"/>
    <w:semiHidden/>
    <w:qFormat/>
    <w:rsid w:val="00DE29B8"/>
    <w:pPr>
      <w:keepNext/>
      <w:spacing w:line="240" w:lineRule="auto"/>
      <w:jc w:val="center"/>
    </w:pPr>
  </w:style>
  <w:style w:type="paragraph" w:styleId="TOC5">
    <w:name w:val="toc 5"/>
    <w:basedOn w:val="TOC2"/>
    <w:next w:val="Normal"/>
    <w:uiPriority w:val="39"/>
    <w:semiHidden/>
    <w:rsid w:val="00DE29B8"/>
    <w:pPr>
      <w:tabs>
        <w:tab w:val="left" w:pos="1134"/>
      </w:tabs>
      <w:ind w:left="1134" w:hanging="567"/>
    </w:pPr>
  </w:style>
  <w:style w:type="paragraph" w:styleId="TOC6">
    <w:name w:val="toc 6"/>
    <w:basedOn w:val="TOC3"/>
    <w:next w:val="Normal"/>
    <w:uiPriority w:val="39"/>
    <w:semiHidden/>
    <w:rsid w:val="00DE29B8"/>
    <w:pPr>
      <w:tabs>
        <w:tab w:val="left" w:pos="851"/>
      </w:tabs>
      <w:ind w:left="851" w:hanging="851"/>
    </w:pPr>
    <w:rPr>
      <w:noProof/>
    </w:rPr>
  </w:style>
  <w:style w:type="paragraph" w:styleId="TOC7">
    <w:name w:val="toc 7"/>
    <w:basedOn w:val="TOC2"/>
    <w:next w:val="Normal"/>
    <w:uiPriority w:val="39"/>
    <w:semiHidden/>
    <w:rsid w:val="00DE29B8"/>
    <w:rPr>
      <w:sz w:val="16"/>
    </w:rPr>
  </w:style>
  <w:style w:type="paragraph" w:styleId="TOC8">
    <w:name w:val="toc 8"/>
    <w:basedOn w:val="Normal"/>
    <w:next w:val="Normal"/>
    <w:uiPriority w:val="39"/>
    <w:semiHidden/>
    <w:rsid w:val="00DE29B8"/>
    <w:pPr>
      <w:tabs>
        <w:tab w:val="left" w:pos="851"/>
        <w:tab w:val="right" w:pos="9639"/>
      </w:tabs>
      <w:spacing w:after="60"/>
      <w:ind w:left="851" w:hanging="851"/>
    </w:pPr>
    <w:rPr>
      <w:sz w:val="16"/>
    </w:rPr>
  </w:style>
  <w:style w:type="paragraph" w:styleId="TOC9">
    <w:name w:val="toc 9"/>
    <w:basedOn w:val="Normal"/>
    <w:next w:val="Normal"/>
    <w:uiPriority w:val="39"/>
    <w:semiHidden/>
    <w:rsid w:val="00DE29B8"/>
    <w:pPr>
      <w:tabs>
        <w:tab w:val="left" w:pos="1418"/>
        <w:tab w:val="right" w:pos="9639"/>
      </w:tabs>
      <w:spacing w:after="60"/>
      <w:ind w:left="1134" w:hanging="1134"/>
    </w:pPr>
  </w:style>
  <w:style w:type="numbering" w:customStyle="1" w:styleId="ListNumber0">
    <w:name w:val="List_Number"/>
    <w:uiPriority w:val="99"/>
    <w:rsid w:val="00DE29B8"/>
  </w:style>
  <w:style w:type="numbering" w:customStyle="1" w:styleId="ListParagraph">
    <w:name w:val="List_Paragraph"/>
    <w:uiPriority w:val="99"/>
    <w:rsid w:val="00DE29B8"/>
    <w:pPr>
      <w:numPr>
        <w:numId w:val="3"/>
      </w:numPr>
    </w:pPr>
  </w:style>
  <w:style w:type="paragraph" w:styleId="Caption">
    <w:name w:val="caption"/>
    <w:basedOn w:val="Normal"/>
    <w:next w:val="Normal"/>
    <w:uiPriority w:val="99"/>
    <w:semiHidden/>
    <w:qFormat/>
    <w:rsid w:val="00DE29B8"/>
    <w:pPr>
      <w:tabs>
        <w:tab w:val="left" w:pos="1134"/>
      </w:tabs>
      <w:spacing w:before="240" w:after="120"/>
      <w:ind w:left="1134" w:hanging="1134"/>
    </w:pPr>
    <w:rPr>
      <w:b/>
    </w:rPr>
  </w:style>
  <w:style w:type="paragraph" w:customStyle="1" w:styleId="ListAlpha0">
    <w:name w:val="List Alpha"/>
    <w:basedOn w:val="BodyText"/>
    <w:uiPriority w:val="1"/>
    <w:qFormat/>
    <w:rsid w:val="00DE29B8"/>
    <w:pPr>
      <w:numPr>
        <w:numId w:val="5"/>
      </w:numPr>
    </w:pPr>
  </w:style>
  <w:style w:type="numbering" w:customStyle="1" w:styleId="ListAlpha">
    <w:name w:val="List_Alpha"/>
    <w:uiPriority w:val="99"/>
    <w:rsid w:val="00DE29B8"/>
    <w:pPr>
      <w:numPr>
        <w:numId w:val="4"/>
      </w:numPr>
    </w:pPr>
  </w:style>
  <w:style w:type="paragraph" w:styleId="TableofAuthorities">
    <w:name w:val="table of authorities"/>
    <w:basedOn w:val="Normal"/>
    <w:next w:val="Normal"/>
    <w:uiPriority w:val="99"/>
    <w:semiHidden/>
    <w:rsid w:val="00DE29B8"/>
    <w:pPr>
      <w:ind w:left="200" w:hanging="200"/>
    </w:pPr>
  </w:style>
  <w:style w:type="paragraph" w:styleId="TableofFigures">
    <w:name w:val="table of figures"/>
    <w:basedOn w:val="TOC3"/>
    <w:next w:val="Normal"/>
    <w:uiPriority w:val="99"/>
    <w:rsid w:val="00DE29B8"/>
    <w:pPr>
      <w:tabs>
        <w:tab w:val="left" w:pos="1134"/>
        <w:tab w:val="left" w:pos="1559"/>
      </w:tabs>
      <w:spacing w:after="120" w:line="264" w:lineRule="auto"/>
    </w:pPr>
    <w:rPr>
      <w:noProof/>
      <w:sz w:val="24"/>
    </w:rPr>
  </w:style>
  <w:style w:type="table" w:customStyle="1" w:styleId="V2020Table">
    <w:name w:val="V2020 Table"/>
    <w:basedOn w:val="TableNormal"/>
    <w:uiPriority w:val="99"/>
    <w:rsid w:val="00DE29B8"/>
    <w:pPr>
      <w:spacing w:before="0"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shd w:val="clear" w:color="auto" w:fill="FFFFFF" w:themeFill="background1"/>
    </w:tcPr>
    <w:tblStylePr w:type="firstRow">
      <w:rPr>
        <w:color w:va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tblStylePr w:type="lastRow">
      <w:rPr>
        <w:b/>
        <w:color w:val="auto"/>
      </w:rPr>
      <w:tblPr/>
      <w:tcPr>
        <w:shd w:val="clear" w:color="auto" w:fill="FFFFFF" w:themeFill="background1"/>
      </w:tcPr>
    </w:tblStylePr>
    <w:tblStylePr w:type="firstCol">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tblStylePr w:type="band2Vert">
      <w:rPr>
        <w:color w:val="auto"/>
      </w:rPr>
      <w:tblPr/>
      <w:tcPr>
        <w:shd w:val="clear" w:color="auto" w:fill="FFFFFF" w:themeFill="background1"/>
      </w:tcPr>
    </w:tblStylePr>
    <w:tblStylePr w:type="band1Horz">
      <w:rPr>
        <w:b w:val="0"/>
        <w:color w:val="FFFFFF" w:themeColor="background1"/>
      </w:rPr>
      <w:tblPr/>
      <w:tcPr>
        <w:shd w:val="clear" w:color="auto" w:fill="004B8D" w:themeFill="accent1"/>
      </w:tcPr>
    </w:tblStylePr>
    <w:tblStylePr w:type="band2Horz">
      <w:rPr>
        <w:b w:val="0"/>
        <w:color w:val="auto"/>
      </w:rPr>
      <w:tblPr/>
      <w:tcPr>
        <w:shd w:val="clear" w:color="auto" w:fill="FFFFFF" w:themeFill="background1"/>
      </w:tcPr>
    </w:tblStylePr>
  </w:style>
  <w:style w:type="character" w:styleId="FollowedHyperlink">
    <w:name w:val="FollowedHyperlink"/>
    <w:basedOn w:val="DefaultParagraphFont"/>
    <w:uiPriority w:val="99"/>
    <w:semiHidden/>
    <w:rsid w:val="00DE29B8"/>
    <w:rPr>
      <w:color w:val="7F7F7F" w:themeColor="text2"/>
      <w:u w:val="single"/>
    </w:rPr>
  </w:style>
  <w:style w:type="paragraph" w:customStyle="1" w:styleId="AttachmentH1">
    <w:name w:val="Attachment H1"/>
    <w:basedOn w:val="Normal"/>
    <w:next w:val="BodyText"/>
    <w:uiPriority w:val="99"/>
    <w:qFormat/>
    <w:rsid w:val="00DE29B8"/>
    <w:pPr>
      <w:pageBreakBefore/>
      <w:numPr>
        <w:numId w:val="15"/>
      </w:numPr>
      <w:tabs>
        <w:tab w:val="left" w:pos="567"/>
      </w:tabs>
      <w:spacing w:before="240" w:after="120"/>
    </w:pPr>
    <w:rPr>
      <w:rFonts w:eastAsia="Times New Roman" w:cs="Times New Roman"/>
      <w:b/>
      <w:sz w:val="36"/>
      <w:szCs w:val="24"/>
      <w:lang w:eastAsia="en-AU"/>
    </w:rPr>
  </w:style>
  <w:style w:type="paragraph" w:customStyle="1" w:styleId="AttachmentH2">
    <w:name w:val="Attachment H2"/>
    <w:basedOn w:val="Heading2"/>
    <w:next w:val="BodyText"/>
    <w:uiPriority w:val="99"/>
    <w:qFormat/>
    <w:rsid w:val="00DE29B8"/>
    <w:pPr>
      <w:numPr>
        <w:ilvl w:val="1"/>
        <w:numId w:val="15"/>
      </w:numPr>
      <w:tabs>
        <w:tab w:val="left" w:pos="851"/>
      </w:tabs>
    </w:pPr>
    <w:rPr>
      <w:iCs w:val="0"/>
      <w:sz w:val="32"/>
    </w:rPr>
  </w:style>
  <w:style w:type="paragraph" w:customStyle="1" w:styleId="AttachmentH3">
    <w:name w:val="Attachment H3"/>
    <w:basedOn w:val="Heading3"/>
    <w:next w:val="BodyText"/>
    <w:uiPriority w:val="99"/>
    <w:qFormat/>
    <w:rsid w:val="00DE29B8"/>
    <w:pPr>
      <w:numPr>
        <w:ilvl w:val="2"/>
        <w:numId w:val="15"/>
      </w:numPr>
      <w:tabs>
        <w:tab w:val="left" w:pos="851"/>
      </w:tabs>
    </w:pPr>
  </w:style>
  <w:style w:type="paragraph" w:customStyle="1" w:styleId="ListAlpha2">
    <w:name w:val="List Alpha 2"/>
    <w:basedOn w:val="ListAlpha0"/>
    <w:uiPriority w:val="19"/>
    <w:rsid w:val="00DE29B8"/>
    <w:pPr>
      <w:numPr>
        <w:ilvl w:val="1"/>
      </w:numPr>
    </w:pPr>
  </w:style>
  <w:style w:type="paragraph" w:customStyle="1" w:styleId="ListAlpha3">
    <w:name w:val="List Alpha 3"/>
    <w:basedOn w:val="ListAlpha2"/>
    <w:uiPriority w:val="19"/>
    <w:rsid w:val="00DE29B8"/>
    <w:pPr>
      <w:numPr>
        <w:ilvl w:val="2"/>
      </w:numPr>
    </w:pPr>
  </w:style>
  <w:style w:type="paragraph" w:customStyle="1" w:styleId="ListAlpha4">
    <w:name w:val="List Alpha 4"/>
    <w:basedOn w:val="ListAlpha3"/>
    <w:uiPriority w:val="19"/>
    <w:rsid w:val="00DE29B8"/>
    <w:pPr>
      <w:numPr>
        <w:ilvl w:val="3"/>
      </w:numPr>
    </w:pPr>
  </w:style>
  <w:style w:type="paragraph" w:customStyle="1" w:styleId="ListAlpha6">
    <w:name w:val="List Alpha 6"/>
    <w:basedOn w:val="ListAlpha4"/>
    <w:uiPriority w:val="19"/>
    <w:rsid w:val="00DE29B8"/>
    <w:pPr>
      <w:numPr>
        <w:ilvl w:val="5"/>
      </w:numPr>
    </w:pPr>
  </w:style>
  <w:style w:type="paragraph" w:customStyle="1" w:styleId="ListAlpha5">
    <w:name w:val="List Alpha 5"/>
    <w:basedOn w:val="ListAlpha6"/>
    <w:uiPriority w:val="19"/>
    <w:rsid w:val="00DE29B8"/>
    <w:pPr>
      <w:numPr>
        <w:ilvl w:val="4"/>
        <w:numId w:val="6"/>
      </w:numPr>
    </w:pPr>
  </w:style>
  <w:style w:type="paragraph" w:styleId="ListBullet2">
    <w:name w:val="List Bullet 2"/>
    <w:basedOn w:val="ListBullet0"/>
    <w:uiPriority w:val="19"/>
    <w:rsid w:val="00DE29B8"/>
    <w:pPr>
      <w:numPr>
        <w:ilvl w:val="1"/>
      </w:numPr>
      <w:spacing w:after="120"/>
    </w:pPr>
  </w:style>
  <w:style w:type="paragraph" w:styleId="ListBullet3">
    <w:name w:val="List Bullet 3"/>
    <w:basedOn w:val="ListBullet0"/>
    <w:uiPriority w:val="19"/>
    <w:rsid w:val="00DE29B8"/>
    <w:pPr>
      <w:numPr>
        <w:ilvl w:val="2"/>
      </w:numPr>
      <w:spacing w:after="120"/>
    </w:pPr>
  </w:style>
  <w:style w:type="paragraph" w:styleId="ListBullet4">
    <w:name w:val="List Bullet 4"/>
    <w:basedOn w:val="ListBullet0"/>
    <w:uiPriority w:val="19"/>
    <w:rsid w:val="00DE29B8"/>
    <w:pPr>
      <w:numPr>
        <w:ilvl w:val="3"/>
      </w:numPr>
      <w:spacing w:after="120"/>
    </w:pPr>
  </w:style>
  <w:style w:type="paragraph" w:styleId="ListBullet5">
    <w:name w:val="List Bullet 5"/>
    <w:basedOn w:val="ListBullet0"/>
    <w:uiPriority w:val="19"/>
    <w:rsid w:val="00DE29B8"/>
    <w:pPr>
      <w:numPr>
        <w:ilvl w:val="4"/>
      </w:numPr>
      <w:spacing w:after="120"/>
    </w:pPr>
  </w:style>
  <w:style w:type="paragraph" w:customStyle="1" w:styleId="ListBullet6">
    <w:name w:val="List Bullet 6"/>
    <w:basedOn w:val="ListBullet0"/>
    <w:uiPriority w:val="19"/>
    <w:rsid w:val="00DE29B8"/>
    <w:pPr>
      <w:numPr>
        <w:ilvl w:val="5"/>
      </w:numPr>
      <w:spacing w:after="120"/>
    </w:pPr>
  </w:style>
  <w:style w:type="paragraph" w:styleId="ListNumber2">
    <w:name w:val="List Number 2"/>
    <w:basedOn w:val="ListNumber"/>
    <w:uiPriority w:val="19"/>
    <w:rsid w:val="00DE29B8"/>
    <w:pPr>
      <w:numPr>
        <w:ilvl w:val="1"/>
      </w:numPr>
      <w:spacing w:after="120"/>
    </w:pPr>
  </w:style>
  <w:style w:type="paragraph" w:styleId="ListNumber3">
    <w:name w:val="List Number 3"/>
    <w:basedOn w:val="ListNumber"/>
    <w:uiPriority w:val="19"/>
    <w:rsid w:val="00DE29B8"/>
    <w:pPr>
      <w:numPr>
        <w:ilvl w:val="2"/>
      </w:numPr>
      <w:spacing w:after="120"/>
    </w:pPr>
  </w:style>
  <w:style w:type="paragraph" w:styleId="ListNumber4">
    <w:name w:val="List Number 4"/>
    <w:basedOn w:val="ListNumber"/>
    <w:uiPriority w:val="19"/>
    <w:rsid w:val="00DE29B8"/>
    <w:pPr>
      <w:numPr>
        <w:ilvl w:val="3"/>
      </w:numPr>
      <w:spacing w:after="120"/>
    </w:pPr>
  </w:style>
  <w:style w:type="paragraph" w:styleId="ListNumber5">
    <w:name w:val="List Number 5"/>
    <w:basedOn w:val="ListNumber"/>
    <w:uiPriority w:val="19"/>
    <w:rsid w:val="00DE29B8"/>
    <w:pPr>
      <w:numPr>
        <w:ilvl w:val="4"/>
      </w:numPr>
      <w:spacing w:after="120"/>
    </w:pPr>
  </w:style>
  <w:style w:type="paragraph" w:customStyle="1" w:styleId="ListNumber6">
    <w:name w:val="List Number 6"/>
    <w:basedOn w:val="ListNumber"/>
    <w:uiPriority w:val="19"/>
    <w:rsid w:val="00DE29B8"/>
    <w:pPr>
      <w:numPr>
        <w:ilvl w:val="5"/>
      </w:numPr>
      <w:spacing w:after="120"/>
    </w:pPr>
  </w:style>
  <w:style w:type="paragraph" w:customStyle="1" w:styleId="ListParagraph2">
    <w:name w:val="List Paragraph 2"/>
    <w:basedOn w:val="ListParagraph0"/>
    <w:uiPriority w:val="19"/>
    <w:rsid w:val="00DE29B8"/>
    <w:pPr>
      <w:numPr>
        <w:ilvl w:val="1"/>
      </w:numPr>
    </w:pPr>
  </w:style>
  <w:style w:type="paragraph" w:customStyle="1" w:styleId="ListParagraph3">
    <w:name w:val="List Paragraph 3"/>
    <w:basedOn w:val="ListParagraph0"/>
    <w:uiPriority w:val="19"/>
    <w:rsid w:val="00DE29B8"/>
    <w:pPr>
      <w:numPr>
        <w:ilvl w:val="2"/>
      </w:numPr>
    </w:pPr>
  </w:style>
  <w:style w:type="paragraph" w:customStyle="1" w:styleId="ListParagraph4">
    <w:name w:val="List Paragraph 4"/>
    <w:basedOn w:val="ListParagraph0"/>
    <w:uiPriority w:val="19"/>
    <w:rsid w:val="00DE29B8"/>
    <w:pPr>
      <w:numPr>
        <w:ilvl w:val="3"/>
      </w:numPr>
    </w:pPr>
  </w:style>
  <w:style w:type="paragraph" w:customStyle="1" w:styleId="ListParagraph5">
    <w:name w:val="List Paragraph 5"/>
    <w:basedOn w:val="ListParagraph0"/>
    <w:uiPriority w:val="19"/>
    <w:rsid w:val="00DE29B8"/>
    <w:pPr>
      <w:numPr>
        <w:ilvl w:val="4"/>
      </w:numPr>
    </w:pPr>
  </w:style>
  <w:style w:type="paragraph" w:customStyle="1" w:styleId="ListParagraph6">
    <w:name w:val="List Paragraph 6"/>
    <w:basedOn w:val="ListParagraph0"/>
    <w:uiPriority w:val="19"/>
    <w:rsid w:val="00DE29B8"/>
    <w:pPr>
      <w:numPr>
        <w:ilvl w:val="5"/>
      </w:numPr>
    </w:pPr>
  </w:style>
  <w:style w:type="numbering" w:customStyle="1" w:styleId="ListBullet">
    <w:name w:val="List_Bullet"/>
    <w:uiPriority w:val="99"/>
    <w:rsid w:val="00DE29B8"/>
    <w:pPr>
      <w:numPr>
        <w:numId w:val="9"/>
      </w:numPr>
    </w:pPr>
  </w:style>
  <w:style w:type="numbering" w:customStyle="1" w:styleId="ListNumberedHeadings">
    <w:name w:val="List_NumberedHeadings"/>
    <w:uiPriority w:val="99"/>
    <w:rsid w:val="00DE29B8"/>
    <w:pPr>
      <w:numPr>
        <w:numId w:val="10"/>
      </w:numPr>
    </w:pPr>
  </w:style>
  <w:style w:type="numbering" w:customStyle="1" w:styleId="ListTableBullet">
    <w:name w:val="List_TableBullet"/>
    <w:uiPriority w:val="99"/>
    <w:rsid w:val="00DE29B8"/>
    <w:pPr>
      <w:numPr>
        <w:numId w:val="11"/>
      </w:numPr>
    </w:pPr>
  </w:style>
  <w:style w:type="numbering" w:customStyle="1" w:styleId="ListTableNumber">
    <w:name w:val="List_TableNumber"/>
    <w:uiPriority w:val="99"/>
    <w:rsid w:val="00DE29B8"/>
    <w:pPr>
      <w:numPr>
        <w:numId w:val="12"/>
      </w:numPr>
    </w:pPr>
  </w:style>
  <w:style w:type="paragraph" w:customStyle="1" w:styleId="TableBullet2">
    <w:name w:val="Table Bullet 2"/>
    <w:basedOn w:val="TableBullet"/>
    <w:uiPriority w:val="19"/>
    <w:rsid w:val="00DE29B8"/>
    <w:pPr>
      <w:numPr>
        <w:ilvl w:val="1"/>
      </w:numPr>
    </w:pPr>
  </w:style>
  <w:style w:type="paragraph" w:customStyle="1" w:styleId="TableNumber2">
    <w:name w:val="Table Number 2"/>
    <w:basedOn w:val="TableNumber"/>
    <w:uiPriority w:val="19"/>
    <w:rsid w:val="00DE29B8"/>
    <w:pPr>
      <w:numPr>
        <w:ilvl w:val="1"/>
      </w:numPr>
    </w:pPr>
  </w:style>
  <w:style w:type="paragraph" w:customStyle="1" w:styleId="BodyText4">
    <w:name w:val="Body Text 4"/>
    <w:basedOn w:val="BodyText3"/>
    <w:uiPriority w:val="99"/>
    <w:semiHidden/>
    <w:qFormat/>
    <w:rsid w:val="00DE29B8"/>
    <w:pPr>
      <w:numPr>
        <w:ilvl w:val="3"/>
      </w:numPr>
    </w:pPr>
  </w:style>
  <w:style w:type="paragraph" w:customStyle="1" w:styleId="BodyText5">
    <w:name w:val="Body Text 5"/>
    <w:basedOn w:val="BodyText4"/>
    <w:uiPriority w:val="99"/>
    <w:semiHidden/>
    <w:qFormat/>
    <w:rsid w:val="00DE29B8"/>
    <w:pPr>
      <w:numPr>
        <w:ilvl w:val="4"/>
      </w:numPr>
    </w:pPr>
  </w:style>
  <w:style w:type="paragraph" w:customStyle="1" w:styleId="BodyText6">
    <w:name w:val="Body Text 6"/>
    <w:basedOn w:val="BodyText5"/>
    <w:uiPriority w:val="99"/>
    <w:semiHidden/>
    <w:qFormat/>
    <w:rsid w:val="00DE29B8"/>
    <w:pPr>
      <w:numPr>
        <w:ilvl w:val="5"/>
      </w:numPr>
    </w:pPr>
  </w:style>
  <w:style w:type="character" w:styleId="PlaceholderText">
    <w:name w:val="Placeholder Text"/>
    <w:basedOn w:val="DefaultParagraphFont"/>
    <w:uiPriority w:val="99"/>
    <w:semiHidden/>
    <w:rsid w:val="00DE29B8"/>
    <w:rPr>
      <w:color w:val="808080"/>
    </w:rPr>
  </w:style>
  <w:style w:type="paragraph" w:customStyle="1" w:styleId="TableSubtitle">
    <w:name w:val="Table Subtitle"/>
    <w:basedOn w:val="TableHeading"/>
    <w:uiPriority w:val="3"/>
    <w:qFormat/>
    <w:rsid w:val="00DE29B8"/>
    <w:rPr>
      <w:b w:val="0"/>
      <w:i/>
    </w:rPr>
  </w:style>
  <w:style w:type="paragraph" w:customStyle="1" w:styleId="MinutesACTION">
    <w:name w:val="Minutes ACTION"/>
    <w:basedOn w:val="Normal"/>
    <w:rsid w:val="00DE29B8"/>
    <w:pPr>
      <w:widowControl w:val="0"/>
      <w:pBdr>
        <w:top w:val="single" w:sz="48" w:space="1" w:color="D2D2D2"/>
        <w:bottom w:val="single" w:sz="48" w:space="0" w:color="D2D2D2"/>
      </w:pBdr>
      <w:shd w:val="clear" w:color="auto" w:fill="D2D2D2"/>
      <w:tabs>
        <w:tab w:val="left" w:pos="210"/>
        <w:tab w:val="left" w:pos="1985"/>
      </w:tabs>
      <w:spacing w:before="120" w:after="480"/>
      <w:ind w:left="1985" w:hanging="1985"/>
    </w:pPr>
    <w:rPr>
      <w:rFonts w:eastAsia="Times New Roman" w:cs="Times New Roman"/>
      <w:color w:val="000000"/>
      <w:spacing w:val="2"/>
      <w:szCs w:val="18"/>
    </w:rPr>
  </w:style>
  <w:style w:type="paragraph" w:customStyle="1" w:styleId="MinutesResolution">
    <w:name w:val="Minutes Resolution"/>
    <w:basedOn w:val="Normal"/>
    <w:rsid w:val="00DE29B8"/>
    <w:pPr>
      <w:widowControl w:val="0"/>
      <w:pBdr>
        <w:top w:val="single" w:sz="48" w:space="1" w:color="E6E6E6"/>
        <w:bottom w:val="single" w:sz="48" w:space="0" w:color="E6E6E6"/>
      </w:pBdr>
      <w:shd w:val="clear" w:color="auto" w:fill="E6E6E6"/>
      <w:tabs>
        <w:tab w:val="left" w:pos="196"/>
        <w:tab w:val="left" w:pos="1985"/>
        <w:tab w:val="left" w:pos="3850"/>
        <w:tab w:val="left" w:pos="5040"/>
        <w:tab w:val="left" w:pos="6901"/>
      </w:tabs>
      <w:spacing w:before="360" w:after="120"/>
      <w:ind w:left="1985" w:right="6" w:hanging="1985"/>
    </w:pPr>
    <w:rPr>
      <w:rFonts w:eastAsia="Times New Roman" w:cs="Times New Roman"/>
      <w:color w:val="000000"/>
      <w:spacing w:val="2"/>
      <w:position w:val="4"/>
      <w:szCs w:val="20"/>
    </w:rPr>
  </w:style>
  <w:style w:type="paragraph" w:customStyle="1" w:styleId="MinutesMOVEDBY">
    <w:name w:val="Minutes MOVED BY"/>
    <w:basedOn w:val="MinutesResolution"/>
    <w:rsid w:val="00DE29B8"/>
    <w:pPr>
      <w:pBdr>
        <w:top w:val="none" w:sz="0" w:space="0" w:color="auto"/>
        <w:bottom w:val="none" w:sz="0" w:space="0" w:color="auto"/>
      </w:pBdr>
      <w:shd w:val="clear" w:color="auto" w:fill="auto"/>
      <w:tabs>
        <w:tab w:val="clear" w:pos="196"/>
        <w:tab w:val="clear" w:pos="3850"/>
        <w:tab w:val="clear" w:pos="5040"/>
        <w:tab w:val="clear" w:pos="6901"/>
        <w:tab w:val="left" w:pos="210"/>
        <w:tab w:val="left" w:pos="3230"/>
        <w:tab w:val="left" w:pos="6460"/>
      </w:tabs>
      <w:spacing w:before="120" w:after="480"/>
      <w:ind w:left="1077" w:hanging="1077"/>
    </w:pPr>
    <w:rPr>
      <w:szCs w:val="18"/>
    </w:rPr>
  </w:style>
  <w:style w:type="paragraph" w:customStyle="1" w:styleId="TableTotal">
    <w:name w:val="Table Total"/>
    <w:basedOn w:val="Normal"/>
    <w:uiPriority w:val="4"/>
    <w:qFormat/>
    <w:rsid w:val="00DE29B8"/>
    <w:pPr>
      <w:spacing w:before="60" w:after="60"/>
    </w:pPr>
    <w:rPr>
      <w:b/>
    </w:rPr>
  </w:style>
  <w:style w:type="paragraph" w:customStyle="1" w:styleId="Indented">
    <w:name w:val="Indented"/>
    <w:basedOn w:val="BodyText"/>
    <w:uiPriority w:val="2"/>
    <w:qFormat/>
    <w:rsid w:val="00DE29B8"/>
    <w:pPr>
      <w:ind w:left="567"/>
    </w:pPr>
  </w:style>
  <w:style w:type="paragraph" w:customStyle="1" w:styleId="TableCaption">
    <w:name w:val="Table Caption"/>
    <w:basedOn w:val="Caption"/>
    <w:uiPriority w:val="5"/>
    <w:semiHidden/>
    <w:qFormat/>
    <w:rsid w:val="00DE29B8"/>
    <w:pPr>
      <w:keepNext/>
    </w:pPr>
    <w:rPr>
      <w:color w:val="004B8D" w:themeColor="accent1"/>
    </w:rPr>
  </w:style>
  <w:style w:type="paragraph" w:customStyle="1" w:styleId="TableBody">
    <w:name w:val="Table Body"/>
    <w:basedOn w:val="Normal"/>
    <w:uiPriority w:val="3"/>
    <w:qFormat/>
    <w:rsid w:val="00DE29B8"/>
    <w:pPr>
      <w:spacing w:before="60" w:after="60"/>
    </w:pPr>
  </w:style>
  <w:style w:type="numbering" w:customStyle="1" w:styleId="ListAttachment">
    <w:name w:val="List_Attachment"/>
    <w:uiPriority w:val="99"/>
    <w:rsid w:val="00DE29B8"/>
    <w:pPr>
      <w:numPr>
        <w:numId w:val="15"/>
      </w:numPr>
    </w:pPr>
  </w:style>
  <w:style w:type="paragraph" w:customStyle="1" w:styleId="Recommendation">
    <w:name w:val="Recommendation"/>
    <w:basedOn w:val="TableHeading"/>
    <w:uiPriority w:val="99"/>
    <w:qFormat/>
    <w:rsid w:val="00DE29B8"/>
    <w:rPr>
      <w:lang w:eastAsia="en-AU"/>
    </w:rPr>
  </w:style>
  <w:style w:type="table" w:styleId="PlainTable4">
    <w:name w:val="Plain Table 4"/>
    <w:basedOn w:val="TableNormal"/>
    <w:uiPriority w:val="44"/>
    <w:rsid w:val="00DE29B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E29B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ocTitle">
    <w:name w:val="DocTitle"/>
    <w:basedOn w:val="DefaultParagraphFont"/>
    <w:uiPriority w:val="10"/>
    <w:rsid w:val="00DE29B8"/>
  </w:style>
  <w:style w:type="character" w:styleId="UnresolvedMention">
    <w:name w:val="Unresolved Mention"/>
    <w:basedOn w:val="DefaultParagraphFont"/>
    <w:uiPriority w:val="99"/>
    <w:semiHidden/>
    <w:unhideWhenUsed/>
    <w:rsid w:val="00DE29B8"/>
    <w:rPr>
      <w:color w:val="605E5C"/>
      <w:shd w:val="clear" w:color="auto" w:fill="E1DFDD"/>
    </w:rPr>
  </w:style>
  <w:style w:type="paragraph" w:customStyle="1" w:styleId="Default">
    <w:name w:val="Default"/>
    <w:rsid w:val="009922D1"/>
    <w:pPr>
      <w:autoSpaceDE w:val="0"/>
      <w:autoSpaceDN w:val="0"/>
      <w:adjustRightInd w:val="0"/>
      <w:spacing w:before="0" w:after="0"/>
    </w:pPr>
    <w:rPr>
      <w:rFonts w:ascii="Frutiger 45 Light" w:hAnsi="Frutiger 45 Light" w:cs="Frutiger 45 Light"/>
      <w:color w:val="000000"/>
      <w:sz w:val="24"/>
      <w:szCs w:val="24"/>
    </w:rPr>
  </w:style>
  <w:style w:type="paragraph" w:customStyle="1" w:styleId="Pa5">
    <w:name w:val="Pa5"/>
    <w:basedOn w:val="Default"/>
    <w:next w:val="Default"/>
    <w:uiPriority w:val="99"/>
    <w:rsid w:val="009922D1"/>
    <w:pPr>
      <w:spacing w:line="281" w:lineRule="atLeast"/>
    </w:pPr>
    <w:rPr>
      <w:rFonts w:cstheme="minorBidi"/>
      <w:color w:val="auto"/>
    </w:rPr>
  </w:style>
  <w:style w:type="paragraph" w:customStyle="1" w:styleId="CICPAYCHd">
    <w:name w:val="CI CP AY CHd"/>
    <w:uiPriority w:val="99"/>
    <w:rsid w:val="006059A6"/>
    <w:pPr>
      <w:widowControl w:val="0"/>
      <w:autoSpaceDE w:val="0"/>
      <w:autoSpaceDN w:val="0"/>
      <w:adjustRightInd w:val="0"/>
      <w:spacing w:before="0" w:after="73"/>
      <w:jc w:val="center"/>
    </w:pPr>
    <w:rPr>
      <w:rFonts w:ascii="Arial Narrow" w:eastAsia="Times New Roman" w:hAnsi="Arial Narrow" w:cs="Arial Narrow"/>
      <w:b/>
      <w:bCs/>
      <w:color w:val="000000"/>
      <w:sz w:val="18"/>
      <w:szCs w:val="18"/>
      <w:lang w:eastAsia="en-AU"/>
    </w:rPr>
  </w:style>
  <w:style w:type="paragraph" w:customStyle="1" w:styleId="CIDesc">
    <w:name w:val="CI Desc"/>
    <w:basedOn w:val="CIPAY"/>
    <w:uiPriority w:val="99"/>
    <w:rsid w:val="006059A6"/>
    <w:rPr>
      <w:color w:val="32619D" w:themeColor="accent3"/>
    </w:rPr>
  </w:style>
  <w:style w:type="paragraph" w:customStyle="1" w:styleId="CIDescCHd2">
    <w:name w:val="CI Desc CHd2"/>
    <w:uiPriority w:val="99"/>
    <w:rsid w:val="006059A6"/>
    <w:pPr>
      <w:widowControl w:val="0"/>
      <w:autoSpaceDE w:val="0"/>
      <w:autoSpaceDN w:val="0"/>
      <w:adjustRightInd w:val="0"/>
      <w:spacing w:before="34" w:after="73"/>
    </w:pPr>
    <w:rPr>
      <w:rFonts w:ascii="Arial Narrow" w:eastAsia="Times New Roman" w:hAnsi="Arial Narrow" w:cs="Arial Narrow"/>
      <w:b/>
      <w:bCs/>
      <w:color w:val="000000"/>
      <w:sz w:val="20"/>
      <w:szCs w:val="20"/>
      <w:lang w:eastAsia="en-AU"/>
    </w:rPr>
  </w:style>
  <w:style w:type="paragraph" w:customStyle="1" w:styleId="CIPAY">
    <w:name w:val="CI P# AY"/>
    <w:basedOn w:val="BodyText"/>
    <w:uiPriority w:val="99"/>
    <w:rsid w:val="006059A6"/>
    <w:pPr>
      <w:jc w:val="right"/>
    </w:pPr>
    <w:rPr>
      <w:b/>
      <w:sz w:val="22"/>
    </w:rPr>
  </w:style>
  <w:style w:type="paragraph" w:customStyle="1" w:styleId="CIPAYCHd">
    <w:name w:val="CI P# AY CHd"/>
    <w:uiPriority w:val="99"/>
    <w:rsid w:val="006059A6"/>
    <w:pPr>
      <w:widowControl w:val="0"/>
      <w:autoSpaceDE w:val="0"/>
      <w:autoSpaceDN w:val="0"/>
      <w:adjustRightInd w:val="0"/>
      <w:spacing w:before="204" w:after="73"/>
      <w:jc w:val="center"/>
    </w:pPr>
    <w:rPr>
      <w:rFonts w:ascii="Arial Narrow" w:eastAsia="Times New Roman" w:hAnsi="Arial Narrow" w:cs="Arial Narrow"/>
      <w:b/>
      <w:bCs/>
      <w:color w:val="000000"/>
      <w:sz w:val="20"/>
      <w:szCs w:val="20"/>
      <w:lang w:eastAsia="en-AU"/>
    </w:rPr>
  </w:style>
  <w:style w:type="character" w:styleId="Strong">
    <w:name w:val="Strong"/>
    <w:basedOn w:val="DefaultParagraphFont"/>
    <w:uiPriority w:val="99"/>
    <w:rsid w:val="006059A6"/>
    <w:rPr>
      <w:b/>
      <w:bCs/>
    </w:rPr>
  </w:style>
  <w:style w:type="paragraph" w:styleId="TOCHeading">
    <w:name w:val="TOC Heading"/>
    <w:basedOn w:val="Heading1"/>
    <w:next w:val="Normal"/>
    <w:uiPriority w:val="39"/>
    <w:unhideWhenUsed/>
    <w:qFormat/>
    <w:rsid w:val="00451DB1"/>
    <w:pPr>
      <w:widowControl/>
      <w:tabs>
        <w:tab w:val="clear" w:pos="8789"/>
      </w:tabs>
      <w:spacing w:after="0" w:line="259" w:lineRule="auto"/>
      <w:outlineLvl w:val="9"/>
    </w:pPr>
    <w:rPr>
      <w:rFonts w:eastAsiaTheme="majorEastAsia" w:cstheme="majorBidi"/>
      <w:b w:val="0"/>
      <w:bCs w:val="0"/>
      <w:color w:val="003769" w:themeColor="accent1" w:themeShade="BF"/>
      <w:kern w:val="0"/>
      <w:lang w:val="en-US" w:eastAsia="en-US"/>
    </w:rPr>
  </w:style>
  <w:style w:type="character" w:styleId="CommentReference">
    <w:name w:val="annotation reference"/>
    <w:basedOn w:val="DefaultParagraphFont"/>
    <w:uiPriority w:val="99"/>
    <w:semiHidden/>
    <w:unhideWhenUsed/>
    <w:rsid w:val="002C46F3"/>
    <w:rPr>
      <w:sz w:val="16"/>
      <w:szCs w:val="16"/>
    </w:rPr>
  </w:style>
  <w:style w:type="paragraph" w:styleId="CommentText">
    <w:name w:val="annotation text"/>
    <w:basedOn w:val="Normal"/>
    <w:link w:val="CommentTextChar"/>
    <w:uiPriority w:val="99"/>
    <w:semiHidden/>
    <w:unhideWhenUsed/>
    <w:rsid w:val="002C46F3"/>
    <w:rPr>
      <w:sz w:val="20"/>
      <w:szCs w:val="20"/>
    </w:rPr>
  </w:style>
  <w:style w:type="character" w:customStyle="1" w:styleId="CommentTextChar">
    <w:name w:val="Comment Text Char"/>
    <w:basedOn w:val="DefaultParagraphFont"/>
    <w:link w:val="CommentText"/>
    <w:uiPriority w:val="99"/>
    <w:semiHidden/>
    <w:rsid w:val="002C46F3"/>
    <w:rPr>
      <w:sz w:val="20"/>
      <w:szCs w:val="20"/>
    </w:rPr>
  </w:style>
  <w:style w:type="paragraph" w:styleId="CommentSubject">
    <w:name w:val="annotation subject"/>
    <w:basedOn w:val="CommentText"/>
    <w:next w:val="CommentText"/>
    <w:link w:val="CommentSubjectChar"/>
    <w:uiPriority w:val="99"/>
    <w:semiHidden/>
    <w:unhideWhenUsed/>
    <w:rsid w:val="002C46F3"/>
    <w:rPr>
      <w:b/>
      <w:bCs/>
    </w:rPr>
  </w:style>
  <w:style w:type="character" w:customStyle="1" w:styleId="CommentSubjectChar">
    <w:name w:val="Comment Subject Char"/>
    <w:basedOn w:val="CommentTextChar"/>
    <w:link w:val="CommentSubject"/>
    <w:uiPriority w:val="99"/>
    <w:semiHidden/>
    <w:rsid w:val="002C46F3"/>
    <w:rPr>
      <w:b/>
      <w:bCs/>
      <w:sz w:val="20"/>
      <w:szCs w:val="20"/>
    </w:rPr>
  </w:style>
  <w:style w:type="paragraph" w:customStyle="1" w:styleId="xmsonormal">
    <w:name w:val="x_msonormal"/>
    <w:basedOn w:val="Normal"/>
    <w:rsid w:val="000F3444"/>
    <w:rPr>
      <w:rFonts w:ascii="Calibri" w:hAnsi="Calibri" w:cs="Calibri"/>
      <w:sz w:val="22"/>
      <w:lang w:eastAsia="en-AU"/>
    </w:rPr>
  </w:style>
  <w:style w:type="paragraph" w:customStyle="1" w:styleId="xmsobodytext">
    <w:name w:val="x_msobodytext"/>
    <w:basedOn w:val="Normal"/>
    <w:rsid w:val="000F3444"/>
    <w:pPr>
      <w:spacing w:before="120" w:after="120" w:line="264" w:lineRule="auto"/>
    </w:pPr>
    <w:rPr>
      <w:rFonts w:ascii="Calibri" w:hAnsi="Calibri" w:cs="Calibri"/>
      <w:szCs w:val="24"/>
      <w:lang w:eastAsia="en-AU"/>
    </w:rPr>
  </w:style>
  <w:style w:type="paragraph" w:styleId="NormalWeb">
    <w:name w:val="Normal (Web)"/>
    <w:basedOn w:val="Normal"/>
    <w:uiPriority w:val="99"/>
    <w:semiHidden/>
    <w:unhideWhenUsed/>
    <w:rsid w:val="008707B7"/>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695AA2"/>
    <w:pPr>
      <w:spacing w:before="0" w:after="0"/>
    </w:pPr>
    <w:rPr>
      <w:sz w:val="24"/>
    </w:rPr>
  </w:style>
  <w:style w:type="paragraph" w:customStyle="1" w:styleId="NbrHeading4">
    <w:name w:val="Nbr Heading 4"/>
    <w:basedOn w:val="Heading4"/>
    <w:next w:val="BodyText"/>
    <w:semiHidden/>
    <w:qFormat/>
    <w:rsid w:val="00D223D8"/>
    <w:pPr>
      <w:numPr>
        <w:ilvl w:val="0"/>
        <w:numId w:val="0"/>
      </w:numPr>
      <w:tabs>
        <w:tab w:val="num" w:pos="1134"/>
      </w:tabs>
      <w:ind w:left="1134" w:hanging="1134"/>
    </w:pPr>
  </w:style>
  <w:style w:type="paragraph" w:customStyle="1" w:styleId="NbrHeading5">
    <w:name w:val="Nbr Heading 5"/>
    <w:basedOn w:val="Heading5"/>
    <w:next w:val="BodyText"/>
    <w:semiHidden/>
    <w:qFormat/>
    <w:rsid w:val="00D223D8"/>
    <w:pPr>
      <w:numPr>
        <w:ilvl w:val="0"/>
        <w:numId w:val="0"/>
      </w:numPr>
      <w:tabs>
        <w:tab w:val="num" w:pos="1134"/>
      </w:tabs>
      <w:ind w:left="1134" w:hanging="1134"/>
    </w:pPr>
  </w:style>
  <w:style w:type="numbering" w:customStyle="1" w:styleId="ListParagraph00">
    <w:name w:val="List Paragraph0"/>
    <w:uiPriority w:val="99"/>
    <w:rsid w:val="00D223D8"/>
    <w:pPr>
      <w:numPr>
        <w:numId w:val="2"/>
      </w:numPr>
    </w:pPr>
  </w:style>
  <w:style w:type="paragraph" w:styleId="FootnoteText">
    <w:name w:val="footnote text"/>
    <w:basedOn w:val="Normal"/>
    <w:link w:val="FootnoteTextChar"/>
    <w:uiPriority w:val="99"/>
    <w:unhideWhenUsed/>
    <w:rsid w:val="00D223D8"/>
    <w:rPr>
      <w:sz w:val="20"/>
      <w:szCs w:val="20"/>
    </w:rPr>
  </w:style>
  <w:style w:type="character" w:customStyle="1" w:styleId="FootnoteTextChar">
    <w:name w:val="Footnote Text Char"/>
    <w:basedOn w:val="DefaultParagraphFont"/>
    <w:link w:val="FootnoteText"/>
    <w:uiPriority w:val="99"/>
    <w:rsid w:val="00D223D8"/>
    <w:rPr>
      <w:sz w:val="20"/>
      <w:szCs w:val="20"/>
    </w:rPr>
  </w:style>
  <w:style w:type="character" w:styleId="FootnoteReference">
    <w:name w:val="footnote reference"/>
    <w:aliases w:val="fr,ftref,16 Point,Superscript 6 Point,(NECG) Footnote Reference,Ref,de nota al pie,Normal + Font:9 Point,Superscript 3 Point Times,BVI fnr,BVI fnr Car Car,BVI fnr Car,BVI fnr Car Car Car Car,BVI fnr Car Car Car Car Char"/>
    <w:basedOn w:val="DefaultParagraphFont"/>
    <w:uiPriority w:val="99"/>
    <w:unhideWhenUsed/>
    <w:rsid w:val="00D223D8"/>
    <w:rPr>
      <w:vertAlign w:val="superscript"/>
    </w:rPr>
  </w:style>
  <w:style w:type="paragraph" w:customStyle="1" w:styleId="paragraph">
    <w:name w:val="paragraph"/>
    <w:basedOn w:val="Normal"/>
    <w:rsid w:val="00D223D8"/>
    <w:pPr>
      <w:spacing w:before="100" w:beforeAutospacing="1" w:after="100" w:afterAutospacing="1"/>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D223D8"/>
  </w:style>
  <w:style w:type="character" w:customStyle="1" w:styleId="eop">
    <w:name w:val="eop"/>
    <w:basedOn w:val="DefaultParagraphFont"/>
    <w:rsid w:val="00D223D8"/>
  </w:style>
  <w:style w:type="character" w:customStyle="1" w:styleId="superscript">
    <w:name w:val="superscript"/>
    <w:basedOn w:val="DefaultParagraphFont"/>
    <w:rsid w:val="00D2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781">
      <w:bodyDiv w:val="1"/>
      <w:marLeft w:val="0"/>
      <w:marRight w:val="0"/>
      <w:marTop w:val="0"/>
      <w:marBottom w:val="0"/>
      <w:divBdr>
        <w:top w:val="none" w:sz="0" w:space="0" w:color="auto"/>
        <w:left w:val="none" w:sz="0" w:space="0" w:color="auto"/>
        <w:bottom w:val="none" w:sz="0" w:space="0" w:color="auto"/>
        <w:right w:val="none" w:sz="0" w:space="0" w:color="auto"/>
      </w:divBdr>
    </w:div>
    <w:div w:id="89012465">
      <w:bodyDiv w:val="1"/>
      <w:marLeft w:val="0"/>
      <w:marRight w:val="0"/>
      <w:marTop w:val="0"/>
      <w:marBottom w:val="0"/>
      <w:divBdr>
        <w:top w:val="none" w:sz="0" w:space="0" w:color="auto"/>
        <w:left w:val="none" w:sz="0" w:space="0" w:color="auto"/>
        <w:bottom w:val="none" w:sz="0" w:space="0" w:color="auto"/>
        <w:right w:val="none" w:sz="0" w:space="0" w:color="auto"/>
      </w:divBdr>
    </w:div>
    <w:div w:id="155339736">
      <w:bodyDiv w:val="1"/>
      <w:marLeft w:val="0"/>
      <w:marRight w:val="0"/>
      <w:marTop w:val="0"/>
      <w:marBottom w:val="0"/>
      <w:divBdr>
        <w:top w:val="none" w:sz="0" w:space="0" w:color="auto"/>
        <w:left w:val="none" w:sz="0" w:space="0" w:color="auto"/>
        <w:bottom w:val="none" w:sz="0" w:space="0" w:color="auto"/>
        <w:right w:val="none" w:sz="0" w:space="0" w:color="auto"/>
      </w:divBdr>
    </w:div>
    <w:div w:id="301158308">
      <w:bodyDiv w:val="1"/>
      <w:marLeft w:val="0"/>
      <w:marRight w:val="0"/>
      <w:marTop w:val="0"/>
      <w:marBottom w:val="0"/>
      <w:divBdr>
        <w:top w:val="none" w:sz="0" w:space="0" w:color="auto"/>
        <w:left w:val="none" w:sz="0" w:space="0" w:color="auto"/>
        <w:bottom w:val="none" w:sz="0" w:space="0" w:color="auto"/>
        <w:right w:val="none" w:sz="0" w:space="0" w:color="auto"/>
      </w:divBdr>
      <w:divsChild>
        <w:div w:id="389380779">
          <w:marLeft w:val="0"/>
          <w:marRight w:val="0"/>
          <w:marTop w:val="0"/>
          <w:marBottom w:val="0"/>
          <w:divBdr>
            <w:top w:val="none" w:sz="0" w:space="0" w:color="auto"/>
            <w:left w:val="none" w:sz="0" w:space="0" w:color="auto"/>
            <w:bottom w:val="none" w:sz="0" w:space="0" w:color="auto"/>
            <w:right w:val="none" w:sz="0" w:space="0" w:color="auto"/>
          </w:divBdr>
        </w:div>
      </w:divsChild>
    </w:div>
    <w:div w:id="394861318">
      <w:bodyDiv w:val="1"/>
      <w:marLeft w:val="0"/>
      <w:marRight w:val="0"/>
      <w:marTop w:val="0"/>
      <w:marBottom w:val="0"/>
      <w:divBdr>
        <w:top w:val="none" w:sz="0" w:space="0" w:color="auto"/>
        <w:left w:val="none" w:sz="0" w:space="0" w:color="auto"/>
        <w:bottom w:val="none" w:sz="0" w:space="0" w:color="auto"/>
        <w:right w:val="none" w:sz="0" w:space="0" w:color="auto"/>
      </w:divBdr>
    </w:div>
    <w:div w:id="620723213">
      <w:bodyDiv w:val="1"/>
      <w:marLeft w:val="0"/>
      <w:marRight w:val="0"/>
      <w:marTop w:val="0"/>
      <w:marBottom w:val="0"/>
      <w:divBdr>
        <w:top w:val="none" w:sz="0" w:space="0" w:color="auto"/>
        <w:left w:val="none" w:sz="0" w:space="0" w:color="auto"/>
        <w:bottom w:val="none" w:sz="0" w:space="0" w:color="auto"/>
        <w:right w:val="none" w:sz="0" w:space="0" w:color="auto"/>
      </w:divBdr>
    </w:div>
    <w:div w:id="754320376">
      <w:bodyDiv w:val="1"/>
      <w:marLeft w:val="0"/>
      <w:marRight w:val="0"/>
      <w:marTop w:val="0"/>
      <w:marBottom w:val="0"/>
      <w:divBdr>
        <w:top w:val="none" w:sz="0" w:space="0" w:color="auto"/>
        <w:left w:val="none" w:sz="0" w:space="0" w:color="auto"/>
        <w:bottom w:val="none" w:sz="0" w:space="0" w:color="auto"/>
        <w:right w:val="none" w:sz="0" w:space="0" w:color="auto"/>
      </w:divBdr>
    </w:div>
    <w:div w:id="1040477479">
      <w:bodyDiv w:val="1"/>
      <w:marLeft w:val="0"/>
      <w:marRight w:val="0"/>
      <w:marTop w:val="0"/>
      <w:marBottom w:val="0"/>
      <w:divBdr>
        <w:top w:val="none" w:sz="0" w:space="0" w:color="auto"/>
        <w:left w:val="none" w:sz="0" w:space="0" w:color="auto"/>
        <w:bottom w:val="none" w:sz="0" w:space="0" w:color="auto"/>
        <w:right w:val="none" w:sz="0" w:space="0" w:color="auto"/>
      </w:divBdr>
    </w:div>
    <w:div w:id="1089349651">
      <w:bodyDiv w:val="1"/>
      <w:marLeft w:val="0"/>
      <w:marRight w:val="0"/>
      <w:marTop w:val="0"/>
      <w:marBottom w:val="0"/>
      <w:divBdr>
        <w:top w:val="none" w:sz="0" w:space="0" w:color="auto"/>
        <w:left w:val="none" w:sz="0" w:space="0" w:color="auto"/>
        <w:bottom w:val="none" w:sz="0" w:space="0" w:color="auto"/>
        <w:right w:val="none" w:sz="0" w:space="0" w:color="auto"/>
      </w:divBdr>
    </w:div>
    <w:div w:id="1124931192">
      <w:bodyDiv w:val="1"/>
      <w:marLeft w:val="0"/>
      <w:marRight w:val="0"/>
      <w:marTop w:val="0"/>
      <w:marBottom w:val="0"/>
      <w:divBdr>
        <w:top w:val="none" w:sz="0" w:space="0" w:color="auto"/>
        <w:left w:val="none" w:sz="0" w:space="0" w:color="auto"/>
        <w:bottom w:val="none" w:sz="0" w:space="0" w:color="auto"/>
        <w:right w:val="none" w:sz="0" w:space="0" w:color="auto"/>
      </w:divBdr>
    </w:div>
    <w:div w:id="1313028382">
      <w:bodyDiv w:val="1"/>
      <w:marLeft w:val="0"/>
      <w:marRight w:val="0"/>
      <w:marTop w:val="0"/>
      <w:marBottom w:val="0"/>
      <w:divBdr>
        <w:top w:val="none" w:sz="0" w:space="0" w:color="auto"/>
        <w:left w:val="none" w:sz="0" w:space="0" w:color="auto"/>
        <w:bottom w:val="none" w:sz="0" w:space="0" w:color="auto"/>
        <w:right w:val="none" w:sz="0" w:space="0" w:color="auto"/>
      </w:divBdr>
    </w:div>
    <w:div w:id="1439256362">
      <w:bodyDiv w:val="1"/>
      <w:marLeft w:val="0"/>
      <w:marRight w:val="0"/>
      <w:marTop w:val="0"/>
      <w:marBottom w:val="0"/>
      <w:divBdr>
        <w:top w:val="none" w:sz="0" w:space="0" w:color="auto"/>
        <w:left w:val="none" w:sz="0" w:space="0" w:color="auto"/>
        <w:bottom w:val="none" w:sz="0" w:space="0" w:color="auto"/>
        <w:right w:val="none" w:sz="0" w:space="0" w:color="auto"/>
      </w:divBdr>
    </w:div>
    <w:div w:id="1484734618">
      <w:bodyDiv w:val="1"/>
      <w:marLeft w:val="0"/>
      <w:marRight w:val="0"/>
      <w:marTop w:val="0"/>
      <w:marBottom w:val="0"/>
      <w:divBdr>
        <w:top w:val="none" w:sz="0" w:space="0" w:color="auto"/>
        <w:left w:val="none" w:sz="0" w:space="0" w:color="auto"/>
        <w:bottom w:val="none" w:sz="0" w:space="0" w:color="auto"/>
        <w:right w:val="none" w:sz="0" w:space="0" w:color="auto"/>
      </w:divBdr>
    </w:div>
    <w:div w:id="1744720692">
      <w:bodyDiv w:val="1"/>
      <w:marLeft w:val="0"/>
      <w:marRight w:val="0"/>
      <w:marTop w:val="0"/>
      <w:marBottom w:val="0"/>
      <w:divBdr>
        <w:top w:val="none" w:sz="0" w:space="0" w:color="auto"/>
        <w:left w:val="none" w:sz="0" w:space="0" w:color="auto"/>
        <w:bottom w:val="none" w:sz="0" w:space="0" w:color="auto"/>
        <w:right w:val="none" w:sz="0" w:space="0" w:color="auto"/>
      </w:divBdr>
    </w:div>
    <w:div w:id="1875338888">
      <w:bodyDiv w:val="1"/>
      <w:marLeft w:val="0"/>
      <w:marRight w:val="0"/>
      <w:marTop w:val="0"/>
      <w:marBottom w:val="0"/>
      <w:divBdr>
        <w:top w:val="none" w:sz="0" w:space="0" w:color="auto"/>
        <w:left w:val="none" w:sz="0" w:space="0" w:color="auto"/>
        <w:bottom w:val="none" w:sz="0" w:space="0" w:color="auto"/>
        <w:right w:val="none" w:sz="0" w:space="0" w:color="auto"/>
      </w:divBdr>
    </w:div>
    <w:div w:id="1886061289">
      <w:bodyDiv w:val="1"/>
      <w:marLeft w:val="0"/>
      <w:marRight w:val="0"/>
      <w:marTop w:val="0"/>
      <w:marBottom w:val="0"/>
      <w:divBdr>
        <w:top w:val="none" w:sz="0" w:space="0" w:color="auto"/>
        <w:left w:val="none" w:sz="0" w:space="0" w:color="auto"/>
        <w:bottom w:val="none" w:sz="0" w:space="0" w:color="auto"/>
        <w:right w:val="none" w:sz="0" w:space="0" w:color="auto"/>
      </w:divBdr>
    </w:div>
    <w:div w:id="2080126089">
      <w:bodyDiv w:val="1"/>
      <w:marLeft w:val="0"/>
      <w:marRight w:val="0"/>
      <w:marTop w:val="0"/>
      <w:marBottom w:val="0"/>
      <w:divBdr>
        <w:top w:val="none" w:sz="0" w:space="0" w:color="auto"/>
        <w:left w:val="none" w:sz="0" w:space="0" w:color="auto"/>
        <w:bottom w:val="none" w:sz="0" w:space="0" w:color="auto"/>
        <w:right w:val="none" w:sz="0" w:space="0" w:color="auto"/>
      </w:divBdr>
    </w:div>
    <w:div w:id="21392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sion2020australia.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vision2020australia.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ria.org.au/wp-content/uploads/2012/02/ORIA-RESEARCH-IMPACT-REPORT-20191.pdf" TargetMode="External"/><Relationship Id="rId13" Type="http://schemas.openxmlformats.org/officeDocument/2006/relationships/hyperlink" Target="https://www.health.nsw.gov.au/kidsfamilies/MCFhealth/child/Publications/response-to-steps-eval-report.pdf" TargetMode="External"/><Relationship Id="rId3" Type="http://schemas.openxmlformats.org/officeDocument/2006/relationships/hyperlink" Target="https://www.vision2020australia.org.au/wp-content/uploads/2019/03/Strong-Eyes-Strong-Communities-A-five-year-plan-for-Aboriginal-and-Torres-Strait-Islander-eye-health-and-vision-2019-2024.pdf" TargetMode="External"/><Relationship Id="rId7" Type="http://schemas.openxmlformats.org/officeDocument/2006/relationships/hyperlink" Target="https://www.un.org/development/desa/disabilities/convention-on-the-rights-of-persons-with-disabilities/article-30-participation-in-cultural-life-recreation-leisure-and-sport.html" TargetMode="External"/><Relationship Id="rId12" Type="http://schemas.openxmlformats.org/officeDocument/2006/relationships/hyperlink" Target="https://www.health.nsw.gov.au/kidsfamilies/MCFhealth/child/Publications/response-to-steps-eval-report.pdf" TargetMode="External"/><Relationship Id="rId2" Type="http://schemas.openxmlformats.org/officeDocument/2006/relationships/hyperlink" Target="https://www.undocs.org/en/A/75/L.108" TargetMode="External"/><Relationship Id="rId1" Type="http://schemas.openxmlformats.org/officeDocument/2006/relationships/hyperlink" Target="https://apps.who.int/gb/ebwha/pdf_files/WHA73/A73_R4-en.pdf" TargetMode="External"/><Relationship Id="rId6" Type="http://schemas.openxmlformats.org/officeDocument/2006/relationships/hyperlink" Target="https://www.health.gov.au/sites/default/files/documents/2021/02/review-of-assistive-technology-programs-in-australia-final-report_0.pdf" TargetMode="External"/><Relationship Id="rId11" Type="http://schemas.openxmlformats.org/officeDocument/2006/relationships/hyperlink" Target="https://www.aihw.gov.au/getmedia/98252212-cc46-477d-a0f3-adcefe01cd25/ehaac.pdf.aspx?inline=true" TargetMode="External"/><Relationship Id="rId5" Type="http://schemas.openxmlformats.org/officeDocument/2006/relationships/hyperlink" Target="https://idf.org/our-network/regions-members/western-pacific/members/112-papua-new-guinea.html" TargetMode="External"/><Relationship Id="rId10" Type="http://schemas.openxmlformats.org/officeDocument/2006/relationships/hyperlink" Target="https://www.aihw.gov.au/getmedia/98252212-cc46-477d-a0f3-adcefe01cd25/ehaac.pdf.aspx?inline=true" TargetMode="External"/><Relationship Id="rId4" Type="http://schemas.openxmlformats.org/officeDocument/2006/relationships/hyperlink" Target="https://www.iapb.org/wp-content/uploads/PNG_RAAB_FHF_Report_Complete.pdf" TargetMode="External"/><Relationship Id="rId9" Type="http://schemas.openxmlformats.org/officeDocument/2006/relationships/hyperlink" Target="https://www.health.gov.au/sites/default/files/documents/2019/09/national-strategic-action-plan-for-macular-disease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bbott\Documents\Office%20Templates\Info.dotx" TargetMode="External"/></Relationships>
</file>

<file path=word/theme/theme1.xml><?xml version="1.0" encoding="utf-8"?>
<a:theme xmlns:a="http://schemas.openxmlformats.org/drawingml/2006/main" name="Office Theme">
  <a:themeElements>
    <a:clrScheme name="Vision 2020">
      <a:dk1>
        <a:sysClr val="windowText" lastClr="000000"/>
      </a:dk1>
      <a:lt1>
        <a:sysClr val="window" lastClr="FFFFFF"/>
      </a:lt1>
      <a:dk2>
        <a:srgbClr val="7F7F7F"/>
      </a:dk2>
      <a:lt2>
        <a:srgbClr val="FFFFFF"/>
      </a:lt2>
      <a:accent1>
        <a:srgbClr val="004B8D"/>
      </a:accent1>
      <a:accent2>
        <a:srgbClr val="FFE384"/>
      </a:accent2>
      <a:accent3>
        <a:srgbClr val="32619D"/>
      </a:accent3>
      <a:accent4>
        <a:srgbClr val="FFECB3"/>
      </a:accent4>
      <a:accent5>
        <a:srgbClr val="BDC6DF"/>
      </a:accent5>
      <a:accent6>
        <a:srgbClr val="FFF7E2"/>
      </a:accent6>
      <a:hlink>
        <a:srgbClr val="004B8D"/>
      </a:hlink>
      <a:folHlink>
        <a:srgbClr val="004B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C080E7CE5CF114B90954CA3A674009A" ma:contentTypeVersion="13" ma:contentTypeDescription="Create a new document." ma:contentTypeScope="" ma:versionID="e1a09e201d36259b448d0fa3f92e8007">
  <xsd:schema xmlns:xsd="http://www.w3.org/2001/XMLSchema" xmlns:xs="http://www.w3.org/2001/XMLSchema" xmlns:p="http://schemas.microsoft.com/office/2006/metadata/properties" xmlns:ns2="78d0d9b4-ea0a-4f91-8ef9-801b5021269f" xmlns:ns3="37c2fd94-8164-4e76-99fa-8733568052a1" targetNamespace="http://schemas.microsoft.com/office/2006/metadata/properties" ma:root="true" ma:fieldsID="444c7241c050517adc6107aefd89a090" ns2:_="" ns3:_="">
    <xsd:import namespace="78d0d9b4-ea0a-4f91-8ef9-801b5021269f"/>
    <xsd:import namespace="37c2fd94-8164-4e76-99fa-8733568052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0d9b4-ea0a-4f91-8ef9-801b50212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2fd94-8164-4e76-99fa-8733568052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C89E2C-2304-4304-BC57-6B23B57845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527CA5-579D-4674-8C51-9F89BD7FCB5F}">
  <ds:schemaRefs>
    <ds:schemaRef ds:uri="http://schemas.microsoft.com/sharepoint/v3/contenttype/forms"/>
  </ds:schemaRefs>
</ds:datastoreItem>
</file>

<file path=customXml/itemProps4.xml><?xml version="1.0" encoding="utf-8"?>
<ds:datastoreItem xmlns:ds="http://schemas.openxmlformats.org/officeDocument/2006/customXml" ds:itemID="{891FC56B-C0BB-4D02-9BDF-E5774816902D}">
  <ds:schemaRefs>
    <ds:schemaRef ds:uri="http://schemas.openxmlformats.org/officeDocument/2006/bibliography"/>
  </ds:schemaRefs>
</ds:datastoreItem>
</file>

<file path=customXml/itemProps5.xml><?xml version="1.0" encoding="utf-8"?>
<ds:datastoreItem xmlns:ds="http://schemas.openxmlformats.org/officeDocument/2006/customXml" ds:itemID="{B70B7214-F8CB-4568-9D19-895FDBB04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0d9b4-ea0a-4f91-8ef9-801b5021269f"/>
    <ds:schemaRef ds:uri="37c2fd94-8164-4e76-99fa-873356805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Info</Template>
  <TotalTime>1</TotalTime>
  <Pages>17</Pages>
  <Words>5204</Words>
  <Characters>29664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Jessup</dc:creator>
  <cp:keywords/>
  <cp:lastModifiedBy>Jocelyn Seip</cp:lastModifiedBy>
  <cp:revision>2</cp:revision>
  <cp:lastPrinted>2013-02-13T21:39:00Z</cp:lastPrinted>
  <dcterms:created xsi:type="dcterms:W3CDTF">2022-03-21T02:53:00Z</dcterms:created>
  <dcterms:modified xsi:type="dcterms:W3CDTF">2022-03-21T02:53:00Z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0x010100BC080E7CE5CF114B90954CA3A674009A</vt:lpwstr>
  </property>
  <property fmtid="{D5CDD505-2E9C-101B-9397-08002B2CF9AE}" pid="3" name="Order">
    <vt:r8>13438600</vt:r8>
  </property>
</Properties>
</file>